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4A73" w:rsidRPr="00B61B66" w:rsidRDefault="00384A73" w:rsidP="00384A73">
      <w:pPr>
        <w:pStyle w:val="Header"/>
        <w:tabs>
          <w:tab w:val="clear" w:pos="4320"/>
          <w:tab w:val="clear" w:pos="8640"/>
        </w:tabs>
        <w:rPr>
          <w:rFonts w:ascii="Arial" w:hAnsi="Arial" w:cs="Arial"/>
          <w:color w:val="000000" w:themeColor="text1"/>
          <w:szCs w:val="24"/>
        </w:rPr>
      </w:pPr>
      <w:r w:rsidRPr="00B61B66">
        <w:rPr>
          <w:rFonts w:ascii="Arial" w:hAnsi="Arial" w:cs="Arial"/>
          <w:color w:val="000000" w:themeColor="text1"/>
          <w:szCs w:val="24"/>
        </w:rPr>
        <w:t>MEMORANDUM</w:t>
      </w:r>
    </w:p>
    <w:p w:rsidR="00384A73" w:rsidRPr="00B61B66" w:rsidRDefault="00384A73" w:rsidP="00384A73">
      <w:pPr>
        <w:pStyle w:val="Header"/>
        <w:tabs>
          <w:tab w:val="clear" w:pos="4320"/>
          <w:tab w:val="clear" w:pos="8640"/>
        </w:tabs>
        <w:rPr>
          <w:rFonts w:ascii="Arial" w:hAnsi="Arial" w:cs="Arial"/>
          <w:color w:val="000000" w:themeColor="text1"/>
          <w:szCs w:val="24"/>
        </w:rPr>
      </w:pPr>
    </w:p>
    <w:p w:rsidR="00384A73" w:rsidRPr="00B61B66" w:rsidRDefault="00384A73" w:rsidP="00384A73">
      <w:pPr>
        <w:pStyle w:val="Header"/>
        <w:tabs>
          <w:tab w:val="clear" w:pos="4320"/>
          <w:tab w:val="clear" w:pos="8640"/>
        </w:tabs>
        <w:rPr>
          <w:rFonts w:ascii="Arial" w:hAnsi="Arial" w:cs="Arial"/>
          <w:color w:val="000000" w:themeColor="text1"/>
          <w:szCs w:val="24"/>
        </w:rPr>
      </w:pPr>
    </w:p>
    <w:p w:rsidR="00384A73" w:rsidRPr="00B61B66" w:rsidRDefault="00384A73" w:rsidP="00384A73">
      <w:pPr>
        <w:pStyle w:val="Header"/>
        <w:tabs>
          <w:tab w:val="clear" w:pos="4320"/>
          <w:tab w:val="clear" w:pos="8640"/>
        </w:tabs>
        <w:rPr>
          <w:rFonts w:ascii="Arial" w:hAnsi="Arial" w:cs="Arial"/>
          <w:color w:val="000000" w:themeColor="text1"/>
          <w:szCs w:val="24"/>
        </w:rPr>
      </w:pPr>
      <w:r w:rsidRPr="00B61B66">
        <w:rPr>
          <w:rFonts w:ascii="Arial" w:hAnsi="Arial" w:cs="Arial"/>
          <w:color w:val="000000" w:themeColor="text1"/>
          <w:szCs w:val="24"/>
        </w:rPr>
        <w:t>To:</w:t>
      </w:r>
      <w:r w:rsidRPr="00B61B66">
        <w:rPr>
          <w:rFonts w:ascii="Arial" w:hAnsi="Arial" w:cs="Arial"/>
          <w:color w:val="000000" w:themeColor="text1"/>
          <w:szCs w:val="24"/>
        </w:rPr>
        <w:tab/>
      </w:r>
      <w:r w:rsidRPr="00B61B66">
        <w:rPr>
          <w:rFonts w:ascii="Arial" w:hAnsi="Arial" w:cs="Arial"/>
          <w:color w:val="000000" w:themeColor="text1"/>
          <w:szCs w:val="24"/>
        </w:rPr>
        <w:tab/>
        <w:t>NIH Executive Officers</w:t>
      </w:r>
    </w:p>
    <w:p w:rsidR="00384A73" w:rsidRPr="00B61B66" w:rsidRDefault="00384A73" w:rsidP="00384A73">
      <w:pPr>
        <w:pStyle w:val="Header"/>
        <w:tabs>
          <w:tab w:val="clear" w:pos="4320"/>
          <w:tab w:val="clear" w:pos="8640"/>
        </w:tabs>
        <w:rPr>
          <w:rFonts w:ascii="Arial" w:hAnsi="Arial" w:cs="Arial"/>
          <w:color w:val="000000" w:themeColor="text1"/>
          <w:szCs w:val="24"/>
        </w:rPr>
      </w:pPr>
      <w:r w:rsidRPr="00B61B66">
        <w:rPr>
          <w:rFonts w:ascii="Arial" w:hAnsi="Arial" w:cs="Arial"/>
          <w:color w:val="000000" w:themeColor="text1"/>
          <w:szCs w:val="24"/>
        </w:rPr>
        <w:tab/>
      </w:r>
      <w:r w:rsidRPr="00B61B66">
        <w:rPr>
          <w:rFonts w:ascii="Arial" w:hAnsi="Arial" w:cs="Arial"/>
          <w:color w:val="000000" w:themeColor="text1"/>
          <w:szCs w:val="24"/>
        </w:rPr>
        <w:tab/>
        <w:t>NIH Acquisition Community</w:t>
      </w:r>
    </w:p>
    <w:p w:rsidR="00384A73" w:rsidRPr="00B61B66" w:rsidRDefault="00384A73" w:rsidP="00384A73">
      <w:pPr>
        <w:pStyle w:val="Header"/>
        <w:tabs>
          <w:tab w:val="clear" w:pos="4320"/>
          <w:tab w:val="clear" w:pos="8640"/>
        </w:tabs>
        <w:rPr>
          <w:rFonts w:ascii="Arial" w:hAnsi="Arial" w:cs="Arial"/>
          <w:color w:val="000000" w:themeColor="text1"/>
          <w:szCs w:val="24"/>
        </w:rPr>
      </w:pPr>
      <w:r w:rsidRPr="00B61B66">
        <w:rPr>
          <w:rFonts w:ascii="Arial" w:hAnsi="Arial" w:cs="Arial"/>
          <w:color w:val="000000" w:themeColor="text1"/>
          <w:szCs w:val="24"/>
        </w:rPr>
        <w:tab/>
      </w:r>
      <w:r w:rsidRPr="00B61B66">
        <w:rPr>
          <w:rFonts w:ascii="Arial" w:hAnsi="Arial" w:cs="Arial"/>
          <w:color w:val="000000" w:themeColor="text1"/>
          <w:szCs w:val="24"/>
        </w:rPr>
        <w:tab/>
        <w:t>NIH Project Officers</w:t>
      </w:r>
      <w:bookmarkStart w:id="0" w:name="_GoBack"/>
      <w:bookmarkEnd w:id="0"/>
      <w:r w:rsidRPr="00B61B66">
        <w:rPr>
          <w:rFonts w:ascii="Arial" w:hAnsi="Arial" w:cs="Arial"/>
          <w:color w:val="000000" w:themeColor="text1"/>
          <w:szCs w:val="24"/>
        </w:rPr>
        <w:t xml:space="preserve">  </w:t>
      </w:r>
    </w:p>
    <w:p w:rsidR="00384A73" w:rsidRPr="00B61B66" w:rsidRDefault="00384A73" w:rsidP="00384A73">
      <w:pPr>
        <w:pStyle w:val="Header"/>
        <w:tabs>
          <w:tab w:val="clear" w:pos="4320"/>
          <w:tab w:val="clear" w:pos="8640"/>
        </w:tabs>
        <w:ind w:left="720" w:firstLine="720"/>
        <w:rPr>
          <w:rFonts w:ascii="Arial" w:hAnsi="Arial" w:cs="Arial"/>
          <w:color w:val="000000" w:themeColor="text1"/>
          <w:szCs w:val="24"/>
        </w:rPr>
      </w:pPr>
      <w:r w:rsidRPr="00B61B66">
        <w:rPr>
          <w:rFonts w:ascii="Arial" w:hAnsi="Arial" w:cs="Arial"/>
          <w:color w:val="000000" w:themeColor="text1"/>
          <w:szCs w:val="24"/>
        </w:rPr>
        <w:t>Intramural and Extramural Administrative Management Committee Chairs</w:t>
      </w:r>
    </w:p>
    <w:p w:rsidR="00384A73" w:rsidRPr="00B61B66" w:rsidRDefault="00384A73" w:rsidP="00384A73">
      <w:pPr>
        <w:pStyle w:val="Header"/>
        <w:tabs>
          <w:tab w:val="clear" w:pos="4320"/>
          <w:tab w:val="clear" w:pos="8640"/>
        </w:tabs>
        <w:rPr>
          <w:rFonts w:ascii="Arial" w:hAnsi="Arial" w:cs="Arial"/>
          <w:color w:val="000000" w:themeColor="text1"/>
          <w:szCs w:val="24"/>
        </w:rPr>
      </w:pPr>
    </w:p>
    <w:p w:rsidR="00384A73" w:rsidRDefault="00384A73" w:rsidP="00C62940">
      <w:pPr>
        <w:pStyle w:val="Header"/>
        <w:tabs>
          <w:tab w:val="clear" w:pos="4320"/>
          <w:tab w:val="clear" w:pos="8640"/>
        </w:tabs>
        <w:ind w:left="1440" w:hanging="1440"/>
        <w:rPr>
          <w:rFonts w:ascii="Arial" w:hAnsi="Arial" w:cs="Arial"/>
          <w:color w:val="000000" w:themeColor="text1"/>
          <w:szCs w:val="24"/>
        </w:rPr>
      </w:pPr>
      <w:r w:rsidRPr="00B61B66">
        <w:rPr>
          <w:rFonts w:ascii="Arial" w:hAnsi="Arial" w:cs="Arial"/>
          <w:color w:val="000000" w:themeColor="text1"/>
          <w:szCs w:val="24"/>
        </w:rPr>
        <w:t xml:space="preserve">From: </w:t>
      </w:r>
      <w:r w:rsidRPr="00B61B66">
        <w:rPr>
          <w:rFonts w:ascii="Arial" w:hAnsi="Arial" w:cs="Arial"/>
          <w:color w:val="000000" w:themeColor="text1"/>
          <w:szCs w:val="24"/>
        </w:rPr>
        <w:tab/>
        <w:t>Director, Office of Acquisition and Logistics Management, NIH</w:t>
      </w:r>
    </w:p>
    <w:p w:rsidR="00C62940" w:rsidRPr="00B61B66" w:rsidRDefault="00C62940" w:rsidP="00C62940">
      <w:pPr>
        <w:pStyle w:val="Header"/>
        <w:tabs>
          <w:tab w:val="clear" w:pos="4320"/>
          <w:tab w:val="clear" w:pos="8640"/>
        </w:tabs>
        <w:ind w:left="1440" w:hanging="1440"/>
        <w:rPr>
          <w:rFonts w:ascii="Arial" w:hAnsi="Arial" w:cs="Arial"/>
          <w:color w:val="000000" w:themeColor="text1"/>
          <w:szCs w:val="24"/>
        </w:rPr>
      </w:pPr>
    </w:p>
    <w:p w:rsidR="00384A73" w:rsidRPr="00B61B66" w:rsidRDefault="00384A73" w:rsidP="00384A73">
      <w:pPr>
        <w:pStyle w:val="Header"/>
        <w:tabs>
          <w:tab w:val="clear" w:pos="4320"/>
          <w:tab w:val="clear" w:pos="8640"/>
        </w:tabs>
        <w:rPr>
          <w:rFonts w:ascii="Arial" w:hAnsi="Arial" w:cs="Arial"/>
          <w:i/>
          <w:color w:val="000000" w:themeColor="text1"/>
          <w:szCs w:val="24"/>
        </w:rPr>
      </w:pPr>
      <w:r w:rsidRPr="00B61B66">
        <w:rPr>
          <w:rFonts w:ascii="Arial" w:hAnsi="Arial" w:cs="Arial"/>
          <w:color w:val="000000" w:themeColor="text1"/>
          <w:szCs w:val="24"/>
        </w:rPr>
        <w:t>Subject:</w:t>
      </w:r>
      <w:r w:rsidRPr="00B61B66">
        <w:rPr>
          <w:rFonts w:ascii="Arial" w:hAnsi="Arial" w:cs="Arial"/>
          <w:color w:val="000000" w:themeColor="text1"/>
          <w:szCs w:val="24"/>
        </w:rPr>
        <w:tab/>
        <w:t>Moratorium on Award Obligations for Conference Support</w:t>
      </w:r>
    </w:p>
    <w:p w:rsidR="00384A73" w:rsidRPr="00B61B66" w:rsidRDefault="00384A73" w:rsidP="00384A73">
      <w:pPr>
        <w:pStyle w:val="Header"/>
        <w:tabs>
          <w:tab w:val="clear" w:pos="4320"/>
          <w:tab w:val="clear" w:pos="8640"/>
        </w:tabs>
        <w:rPr>
          <w:rFonts w:ascii="Arial" w:hAnsi="Arial" w:cs="Arial"/>
          <w:color w:val="000000" w:themeColor="text1"/>
          <w:szCs w:val="24"/>
        </w:rPr>
      </w:pPr>
    </w:p>
    <w:p w:rsidR="00384A73" w:rsidRPr="00B61B66" w:rsidRDefault="00384A73" w:rsidP="00384A73">
      <w:pPr>
        <w:rPr>
          <w:rFonts w:ascii="Arial" w:hAnsi="Arial" w:cs="Arial"/>
          <w:color w:val="000000" w:themeColor="text1"/>
          <w:sz w:val="24"/>
          <w:szCs w:val="24"/>
        </w:rPr>
      </w:pPr>
      <w:r w:rsidRPr="00B61B66">
        <w:rPr>
          <w:rFonts w:ascii="Arial" w:hAnsi="Arial" w:cs="Arial"/>
          <w:color w:val="000000" w:themeColor="text1"/>
          <w:sz w:val="24"/>
          <w:szCs w:val="24"/>
        </w:rPr>
        <w:t>A DHHS-wide moratorium has been placed on the obligation of funds through contracts, task orders and purchase orders for conference support, regardless of the type of appropriation or fund</w:t>
      </w:r>
      <w:r w:rsidR="00B61B66" w:rsidRPr="00B61B66">
        <w:rPr>
          <w:rFonts w:ascii="Arial" w:hAnsi="Arial" w:cs="Arial"/>
          <w:color w:val="000000" w:themeColor="text1"/>
          <w:sz w:val="24"/>
          <w:szCs w:val="24"/>
        </w:rPr>
        <w:t>ing source</w:t>
      </w:r>
      <w:r w:rsidRPr="00B61B66">
        <w:rPr>
          <w:rFonts w:ascii="Arial" w:hAnsi="Arial" w:cs="Arial"/>
          <w:color w:val="000000" w:themeColor="text1"/>
          <w:sz w:val="24"/>
          <w:szCs w:val="24"/>
        </w:rPr>
        <w:t>.  The moratorium will be effective for a two-month period, December 7, 2012 through February 7, 201</w:t>
      </w:r>
      <w:r w:rsidR="00560C44" w:rsidRPr="00B61B66">
        <w:rPr>
          <w:rFonts w:ascii="Arial" w:hAnsi="Arial" w:cs="Arial"/>
          <w:color w:val="000000" w:themeColor="text1"/>
          <w:sz w:val="24"/>
          <w:szCs w:val="24"/>
        </w:rPr>
        <w:t>3</w:t>
      </w:r>
      <w:r w:rsidRPr="00B61B66">
        <w:rPr>
          <w:rFonts w:ascii="Arial" w:hAnsi="Arial" w:cs="Arial"/>
          <w:color w:val="000000" w:themeColor="text1"/>
          <w:sz w:val="24"/>
          <w:szCs w:val="24"/>
        </w:rPr>
        <w:t>.</w:t>
      </w:r>
    </w:p>
    <w:p w:rsidR="00384A73" w:rsidRPr="00B61B66" w:rsidRDefault="00384A73" w:rsidP="00384A73">
      <w:pPr>
        <w:rPr>
          <w:rFonts w:ascii="Arial" w:hAnsi="Arial" w:cs="Arial"/>
          <w:color w:val="000000" w:themeColor="text1"/>
          <w:sz w:val="24"/>
          <w:szCs w:val="24"/>
        </w:rPr>
      </w:pPr>
      <w:r w:rsidRPr="00B61B66">
        <w:rPr>
          <w:rFonts w:ascii="Arial" w:hAnsi="Arial" w:cs="Arial"/>
          <w:color w:val="000000" w:themeColor="text1"/>
          <w:sz w:val="24"/>
          <w:szCs w:val="24"/>
        </w:rPr>
        <w:t>The moratorium has been established to allow DHHS to begin the process of: addressing the significant variability in spending for conference support across the Department; establishing parameters to assist OPDIVS in ensuring reasonable pricing for conference support services; and, achieving efficiencies through movement toward a level of standardization in both the terms and conditions used in conference-related awards and through the use of strategic sources.</w:t>
      </w:r>
    </w:p>
    <w:p w:rsidR="00384A73" w:rsidRPr="00B61B66" w:rsidRDefault="00384A73" w:rsidP="00FF512A">
      <w:pPr>
        <w:rPr>
          <w:rFonts w:ascii="Arial" w:hAnsi="Arial" w:cs="Arial"/>
          <w:color w:val="000000" w:themeColor="text1"/>
          <w:sz w:val="24"/>
          <w:szCs w:val="24"/>
        </w:rPr>
      </w:pPr>
      <w:r w:rsidRPr="00B61B66">
        <w:rPr>
          <w:rFonts w:ascii="Arial" w:hAnsi="Arial" w:cs="Arial"/>
          <w:color w:val="000000" w:themeColor="text1"/>
          <w:sz w:val="24"/>
          <w:szCs w:val="24"/>
        </w:rPr>
        <w:t>This moratorium does not apply to:</w:t>
      </w:r>
    </w:p>
    <w:p w:rsidR="00FF512A" w:rsidRPr="00B61B66" w:rsidRDefault="00FF512A" w:rsidP="00384A73">
      <w:pPr>
        <w:numPr>
          <w:ilvl w:val="0"/>
          <w:numId w:val="1"/>
        </w:numPr>
        <w:spacing w:after="0" w:line="240" w:lineRule="auto"/>
        <w:rPr>
          <w:rFonts w:ascii="Arial" w:hAnsi="Arial" w:cs="Arial"/>
          <w:color w:val="000000" w:themeColor="text1"/>
          <w:sz w:val="24"/>
          <w:szCs w:val="24"/>
        </w:rPr>
      </w:pPr>
      <w:r w:rsidRPr="00B61B66">
        <w:rPr>
          <w:rFonts w:ascii="Arial" w:hAnsi="Arial" w:cs="Arial"/>
          <w:color w:val="000000" w:themeColor="text1"/>
          <w:sz w:val="24"/>
          <w:szCs w:val="24"/>
        </w:rPr>
        <w:t>Non-HHS Conferences</w:t>
      </w:r>
    </w:p>
    <w:p w:rsidR="00FF512A" w:rsidRPr="00B61B66" w:rsidRDefault="00FF512A" w:rsidP="00384A73">
      <w:pPr>
        <w:numPr>
          <w:ilvl w:val="0"/>
          <w:numId w:val="1"/>
        </w:numPr>
        <w:spacing w:after="0" w:line="240" w:lineRule="auto"/>
        <w:rPr>
          <w:rFonts w:ascii="Arial" w:hAnsi="Arial" w:cs="Arial"/>
          <w:color w:val="000000" w:themeColor="text1"/>
          <w:sz w:val="24"/>
          <w:szCs w:val="24"/>
        </w:rPr>
      </w:pPr>
      <w:r w:rsidRPr="00B61B66">
        <w:rPr>
          <w:rFonts w:ascii="Arial" w:hAnsi="Arial" w:cs="Arial"/>
          <w:color w:val="000000" w:themeColor="text1"/>
          <w:sz w:val="24"/>
          <w:szCs w:val="24"/>
        </w:rPr>
        <w:t>HHS Conference Grants</w:t>
      </w:r>
    </w:p>
    <w:p w:rsidR="00FF512A" w:rsidRPr="00B61B66" w:rsidRDefault="00384A73" w:rsidP="00384A73">
      <w:pPr>
        <w:numPr>
          <w:ilvl w:val="0"/>
          <w:numId w:val="1"/>
        </w:numPr>
        <w:spacing w:after="0" w:line="240" w:lineRule="auto"/>
        <w:rPr>
          <w:rFonts w:ascii="Arial" w:hAnsi="Arial" w:cs="Arial"/>
          <w:color w:val="000000" w:themeColor="text1"/>
          <w:sz w:val="24"/>
          <w:szCs w:val="24"/>
        </w:rPr>
      </w:pPr>
      <w:r w:rsidRPr="00B61B66">
        <w:rPr>
          <w:rFonts w:ascii="Arial" w:hAnsi="Arial" w:cs="Arial"/>
          <w:color w:val="000000" w:themeColor="text1"/>
          <w:sz w:val="24"/>
          <w:szCs w:val="24"/>
        </w:rPr>
        <w:t>Conferences that are supported through an obligation made to a con</w:t>
      </w:r>
      <w:r w:rsidR="008B05E3" w:rsidRPr="00B61B66">
        <w:rPr>
          <w:rFonts w:ascii="Arial" w:hAnsi="Arial" w:cs="Arial"/>
          <w:color w:val="000000" w:themeColor="text1"/>
          <w:sz w:val="24"/>
          <w:szCs w:val="24"/>
        </w:rPr>
        <w:t>tract, task order or purchase order</w:t>
      </w:r>
      <w:r w:rsidR="00FF512A" w:rsidRPr="00B61B66">
        <w:rPr>
          <w:rFonts w:ascii="Arial" w:hAnsi="Arial" w:cs="Arial"/>
          <w:color w:val="000000" w:themeColor="text1"/>
          <w:sz w:val="24"/>
          <w:szCs w:val="24"/>
        </w:rPr>
        <w:t>, provided the obligation was made on or before December 7, 2012 and a request for approval of the conference was submitted and approved at the appropriate level(s).</w:t>
      </w:r>
    </w:p>
    <w:p w:rsidR="00384A73" w:rsidRPr="00B61B66" w:rsidRDefault="00384A73" w:rsidP="00384A73">
      <w:pPr>
        <w:numPr>
          <w:ilvl w:val="0"/>
          <w:numId w:val="1"/>
        </w:numPr>
        <w:spacing w:after="0" w:line="240" w:lineRule="auto"/>
        <w:rPr>
          <w:rFonts w:ascii="Arial" w:hAnsi="Arial" w:cs="Arial"/>
          <w:color w:val="000000" w:themeColor="text1"/>
          <w:sz w:val="24"/>
          <w:szCs w:val="24"/>
        </w:rPr>
      </w:pPr>
      <w:r w:rsidRPr="00B61B66">
        <w:rPr>
          <w:rFonts w:ascii="Arial" w:hAnsi="Arial" w:cs="Arial"/>
          <w:color w:val="000000" w:themeColor="text1"/>
          <w:sz w:val="24"/>
          <w:szCs w:val="24"/>
        </w:rPr>
        <w:t>Conference</w:t>
      </w:r>
      <w:r w:rsidR="003018AF" w:rsidRPr="00B61B66">
        <w:rPr>
          <w:rFonts w:ascii="Arial" w:hAnsi="Arial" w:cs="Arial"/>
          <w:color w:val="000000" w:themeColor="text1"/>
          <w:sz w:val="24"/>
          <w:szCs w:val="24"/>
        </w:rPr>
        <w:t xml:space="preserve"> requests </w:t>
      </w:r>
      <w:r w:rsidRPr="00B61B66">
        <w:rPr>
          <w:rFonts w:ascii="Arial" w:hAnsi="Arial" w:cs="Arial"/>
          <w:color w:val="000000" w:themeColor="text1"/>
          <w:sz w:val="24"/>
          <w:szCs w:val="24"/>
        </w:rPr>
        <w:t>below $25,000</w:t>
      </w:r>
      <w:r w:rsidR="00AB6BB1" w:rsidRPr="00B61B66">
        <w:rPr>
          <w:rFonts w:ascii="Arial" w:hAnsi="Arial" w:cs="Arial"/>
          <w:color w:val="000000" w:themeColor="text1"/>
          <w:sz w:val="24"/>
          <w:szCs w:val="24"/>
        </w:rPr>
        <w:t xml:space="preserve"> </w:t>
      </w:r>
      <w:r w:rsidRPr="00B61B66">
        <w:rPr>
          <w:rFonts w:ascii="Arial" w:hAnsi="Arial" w:cs="Arial"/>
          <w:color w:val="000000" w:themeColor="text1"/>
          <w:sz w:val="24"/>
          <w:szCs w:val="24"/>
        </w:rPr>
        <w:t xml:space="preserve">that were signed by the IC Executive Officer on or prior to December </w:t>
      </w:r>
      <w:r w:rsidR="00AB6BB1" w:rsidRPr="00B61B66">
        <w:rPr>
          <w:rFonts w:ascii="Arial" w:hAnsi="Arial" w:cs="Arial"/>
          <w:color w:val="000000" w:themeColor="text1"/>
          <w:sz w:val="24"/>
          <w:szCs w:val="24"/>
        </w:rPr>
        <w:t xml:space="preserve">7, 2012, regardless of the date of the obligation. </w:t>
      </w:r>
    </w:p>
    <w:p w:rsidR="00384A73" w:rsidRPr="00B61B66" w:rsidRDefault="00384A73" w:rsidP="00384A73">
      <w:pPr>
        <w:numPr>
          <w:ilvl w:val="0"/>
          <w:numId w:val="1"/>
        </w:numPr>
        <w:spacing w:after="0" w:line="240" w:lineRule="auto"/>
        <w:rPr>
          <w:rFonts w:ascii="Arial" w:hAnsi="Arial" w:cs="Arial"/>
          <w:color w:val="000000" w:themeColor="text1"/>
          <w:sz w:val="24"/>
          <w:szCs w:val="24"/>
        </w:rPr>
      </w:pPr>
      <w:r w:rsidRPr="00B61B66">
        <w:rPr>
          <w:rFonts w:ascii="Arial" w:hAnsi="Arial" w:cs="Arial"/>
          <w:color w:val="000000" w:themeColor="text1"/>
          <w:sz w:val="24"/>
          <w:szCs w:val="24"/>
        </w:rPr>
        <w:t>Conference</w:t>
      </w:r>
      <w:r w:rsidR="003018AF" w:rsidRPr="00B61B66">
        <w:rPr>
          <w:rFonts w:ascii="Arial" w:hAnsi="Arial" w:cs="Arial"/>
          <w:color w:val="000000" w:themeColor="text1"/>
          <w:sz w:val="24"/>
          <w:szCs w:val="24"/>
        </w:rPr>
        <w:t xml:space="preserve"> requests at or above $25,000 that were signed by the IC Executive Officer on or prior to December 7, 2012 and </w:t>
      </w:r>
      <w:r w:rsidRPr="00B61B66">
        <w:rPr>
          <w:rFonts w:ascii="Arial" w:hAnsi="Arial" w:cs="Arial"/>
          <w:color w:val="000000" w:themeColor="text1"/>
          <w:sz w:val="24"/>
          <w:szCs w:val="24"/>
        </w:rPr>
        <w:t>submitted to OD/NIH for approval</w:t>
      </w:r>
      <w:r w:rsidR="00AB6BB1" w:rsidRPr="00B61B66">
        <w:rPr>
          <w:rFonts w:ascii="Arial" w:hAnsi="Arial" w:cs="Arial"/>
          <w:color w:val="000000" w:themeColor="text1"/>
          <w:sz w:val="24"/>
          <w:szCs w:val="24"/>
        </w:rPr>
        <w:t xml:space="preserve">. </w:t>
      </w:r>
      <w:r w:rsidRPr="00B61B66">
        <w:rPr>
          <w:rFonts w:ascii="Arial" w:hAnsi="Arial" w:cs="Arial"/>
          <w:color w:val="000000" w:themeColor="text1"/>
          <w:sz w:val="24"/>
          <w:szCs w:val="24"/>
        </w:rPr>
        <w:t xml:space="preserve"> </w:t>
      </w:r>
    </w:p>
    <w:p w:rsidR="00D7431F" w:rsidRPr="00B61B66" w:rsidRDefault="00384A73" w:rsidP="00384A73">
      <w:pPr>
        <w:numPr>
          <w:ilvl w:val="0"/>
          <w:numId w:val="1"/>
        </w:numPr>
        <w:spacing w:after="0" w:line="240" w:lineRule="auto"/>
        <w:rPr>
          <w:rFonts w:ascii="Arial" w:hAnsi="Arial" w:cs="Arial"/>
          <w:color w:val="000000" w:themeColor="text1"/>
          <w:sz w:val="24"/>
          <w:szCs w:val="24"/>
        </w:rPr>
      </w:pPr>
      <w:r w:rsidRPr="00B61B66">
        <w:rPr>
          <w:rFonts w:ascii="Arial" w:hAnsi="Arial" w:cs="Arial"/>
          <w:color w:val="000000" w:themeColor="text1"/>
          <w:sz w:val="24"/>
          <w:szCs w:val="24"/>
        </w:rPr>
        <w:t xml:space="preserve">Meetings that are not considered conferences under the June </w:t>
      </w:r>
      <w:r w:rsidR="00666A12" w:rsidRPr="00B61B66">
        <w:rPr>
          <w:rFonts w:ascii="Arial" w:hAnsi="Arial" w:cs="Arial"/>
          <w:color w:val="000000" w:themeColor="text1"/>
          <w:sz w:val="24"/>
          <w:szCs w:val="24"/>
        </w:rPr>
        <w:t>15</w:t>
      </w:r>
      <w:r w:rsidRPr="00B61B66">
        <w:rPr>
          <w:rFonts w:ascii="Arial" w:hAnsi="Arial" w:cs="Arial"/>
          <w:color w:val="000000" w:themeColor="text1"/>
          <w:sz w:val="24"/>
          <w:szCs w:val="24"/>
        </w:rPr>
        <w:t xml:space="preserve">, 2012 policy </w:t>
      </w:r>
      <w:r w:rsidR="00D7431F" w:rsidRPr="00B61B66">
        <w:rPr>
          <w:rFonts w:ascii="Arial" w:hAnsi="Arial" w:cs="Arial"/>
          <w:color w:val="000000" w:themeColor="text1"/>
          <w:sz w:val="24"/>
          <w:szCs w:val="24"/>
        </w:rPr>
        <w:t xml:space="preserve"> </w:t>
      </w:r>
    </w:p>
    <w:p w:rsidR="00D7431F" w:rsidRPr="00B61B66" w:rsidRDefault="00C62940" w:rsidP="00D7431F">
      <w:pPr>
        <w:spacing w:after="0" w:line="240" w:lineRule="auto"/>
        <w:ind w:left="770"/>
        <w:rPr>
          <w:rFonts w:ascii="Arial" w:hAnsi="Arial" w:cs="Arial"/>
          <w:color w:val="000000" w:themeColor="text1"/>
          <w:sz w:val="24"/>
          <w:szCs w:val="24"/>
        </w:rPr>
      </w:pPr>
      <w:hyperlink r:id="rId8" w:tooltip="NIH Efficient Spending Policy webpage" w:history="1">
        <w:r w:rsidR="00D7431F" w:rsidRPr="00B61B66">
          <w:rPr>
            <w:rStyle w:val="Hyperlink"/>
            <w:rFonts w:ascii="Arial" w:hAnsi="Arial" w:cs="Arial"/>
            <w:color w:val="000000" w:themeColor="text1"/>
            <w:sz w:val="24"/>
            <w:szCs w:val="24"/>
          </w:rPr>
          <w:t>http://oamp.od.nih.gov/ContractToolBox/SpendingPolicy.asp</w:t>
        </w:r>
      </w:hyperlink>
    </w:p>
    <w:p w:rsidR="00384A73" w:rsidRPr="00B61B66" w:rsidRDefault="00384A73" w:rsidP="00384A73">
      <w:pPr>
        <w:numPr>
          <w:ilvl w:val="0"/>
          <w:numId w:val="1"/>
        </w:numPr>
        <w:spacing w:after="0" w:line="240" w:lineRule="auto"/>
        <w:rPr>
          <w:rFonts w:ascii="Arial" w:hAnsi="Arial" w:cs="Arial"/>
          <w:color w:val="000000" w:themeColor="text1"/>
          <w:sz w:val="24"/>
          <w:szCs w:val="24"/>
        </w:rPr>
      </w:pPr>
      <w:r w:rsidRPr="00B61B66">
        <w:rPr>
          <w:rFonts w:ascii="Arial" w:hAnsi="Arial" w:cs="Arial"/>
          <w:color w:val="000000" w:themeColor="text1"/>
          <w:sz w:val="24"/>
          <w:szCs w:val="24"/>
        </w:rPr>
        <w:t>(Webinar services that are not associated with a conference</w:t>
      </w:r>
    </w:p>
    <w:p w:rsidR="00384A73" w:rsidRPr="00B61B66" w:rsidRDefault="00384A73" w:rsidP="00384A73">
      <w:pPr>
        <w:rPr>
          <w:rFonts w:ascii="Arial" w:hAnsi="Arial" w:cs="Arial"/>
          <w:color w:val="000000" w:themeColor="text1"/>
          <w:sz w:val="24"/>
          <w:szCs w:val="24"/>
        </w:rPr>
      </w:pPr>
    </w:p>
    <w:p w:rsidR="00384A73" w:rsidRPr="00B61B66" w:rsidRDefault="00384A73" w:rsidP="00384A73">
      <w:pPr>
        <w:rPr>
          <w:rFonts w:ascii="Arial" w:hAnsi="Arial" w:cs="Arial"/>
          <w:color w:val="000000" w:themeColor="text1"/>
          <w:sz w:val="24"/>
          <w:szCs w:val="24"/>
        </w:rPr>
      </w:pPr>
      <w:r w:rsidRPr="00B61B66">
        <w:rPr>
          <w:rFonts w:ascii="Arial" w:hAnsi="Arial" w:cs="Arial"/>
          <w:color w:val="000000" w:themeColor="text1"/>
          <w:sz w:val="24"/>
          <w:szCs w:val="24"/>
        </w:rPr>
        <w:t>In addition to the exclusions above, an exception to the moratorium may be requested for any conference</w:t>
      </w:r>
      <w:r w:rsidR="003018AF" w:rsidRPr="00B61B66">
        <w:rPr>
          <w:rFonts w:ascii="Arial" w:hAnsi="Arial" w:cs="Arial"/>
          <w:color w:val="000000" w:themeColor="text1"/>
          <w:sz w:val="24"/>
          <w:szCs w:val="24"/>
        </w:rPr>
        <w:t xml:space="preserve"> </w:t>
      </w:r>
      <w:r w:rsidRPr="00B61B66">
        <w:rPr>
          <w:rFonts w:ascii="Arial" w:hAnsi="Arial" w:cs="Arial"/>
          <w:color w:val="000000" w:themeColor="text1"/>
          <w:sz w:val="24"/>
          <w:szCs w:val="24"/>
        </w:rPr>
        <w:t>requiring the obligation of funds during the moratorium period</w:t>
      </w:r>
      <w:r w:rsidR="00666A12" w:rsidRPr="00B61B66">
        <w:rPr>
          <w:rFonts w:ascii="Arial" w:hAnsi="Arial" w:cs="Arial"/>
          <w:color w:val="000000" w:themeColor="text1"/>
          <w:sz w:val="24"/>
          <w:szCs w:val="24"/>
        </w:rPr>
        <w:t xml:space="preserve">.  </w:t>
      </w:r>
      <w:r w:rsidRPr="00B61B66">
        <w:rPr>
          <w:rFonts w:ascii="Arial" w:hAnsi="Arial" w:cs="Arial"/>
          <w:color w:val="000000" w:themeColor="text1"/>
          <w:sz w:val="24"/>
          <w:szCs w:val="24"/>
        </w:rPr>
        <w:t xml:space="preserve">Requests for </w:t>
      </w:r>
      <w:r w:rsidRPr="00B61B66">
        <w:rPr>
          <w:rFonts w:ascii="Arial" w:eastAsia="Times New Roman" w:hAnsi="Arial" w:cs="Arial"/>
          <w:color w:val="000000" w:themeColor="text1"/>
          <w:sz w:val="24"/>
          <w:szCs w:val="24"/>
        </w:rPr>
        <w:t xml:space="preserve">exceptions will follow the same approval </w:t>
      </w:r>
      <w:r w:rsidR="00D7431F" w:rsidRPr="00B61B66">
        <w:rPr>
          <w:rFonts w:ascii="Arial" w:eastAsia="Times New Roman" w:hAnsi="Arial" w:cs="Arial"/>
          <w:color w:val="000000" w:themeColor="text1"/>
          <w:sz w:val="24"/>
          <w:szCs w:val="24"/>
        </w:rPr>
        <w:t xml:space="preserve">and threshold </w:t>
      </w:r>
      <w:r w:rsidRPr="00B61B66">
        <w:rPr>
          <w:rFonts w:ascii="Arial" w:eastAsia="Times New Roman" w:hAnsi="Arial" w:cs="Arial"/>
          <w:color w:val="000000" w:themeColor="text1"/>
          <w:sz w:val="24"/>
          <w:szCs w:val="24"/>
        </w:rPr>
        <w:t>requirements</w:t>
      </w:r>
      <w:r w:rsidR="00666A12" w:rsidRPr="00B61B66">
        <w:rPr>
          <w:rFonts w:ascii="Arial" w:eastAsia="Times New Roman" w:hAnsi="Arial" w:cs="Arial"/>
          <w:color w:val="000000" w:themeColor="text1"/>
          <w:sz w:val="24"/>
          <w:szCs w:val="24"/>
        </w:rPr>
        <w:t xml:space="preserve"> as defined </w:t>
      </w:r>
      <w:r w:rsidRPr="00B61B66">
        <w:rPr>
          <w:rFonts w:ascii="Arial" w:eastAsia="Times New Roman" w:hAnsi="Arial" w:cs="Arial"/>
          <w:color w:val="000000" w:themeColor="text1"/>
          <w:sz w:val="24"/>
          <w:szCs w:val="24"/>
        </w:rPr>
        <w:t xml:space="preserve">in the June </w:t>
      </w:r>
      <w:r w:rsidR="00D7431F" w:rsidRPr="00B61B66">
        <w:rPr>
          <w:rFonts w:ascii="Arial" w:eastAsia="Times New Roman" w:hAnsi="Arial" w:cs="Arial"/>
          <w:color w:val="000000" w:themeColor="text1"/>
          <w:sz w:val="24"/>
          <w:szCs w:val="24"/>
        </w:rPr>
        <w:t>15</w:t>
      </w:r>
      <w:r w:rsidRPr="00B61B66">
        <w:rPr>
          <w:rFonts w:ascii="Arial" w:eastAsia="Times New Roman" w:hAnsi="Arial" w:cs="Arial"/>
          <w:color w:val="000000" w:themeColor="text1"/>
          <w:sz w:val="24"/>
          <w:szCs w:val="24"/>
        </w:rPr>
        <w:t xml:space="preserve">, 2012 policy, but should include, as an attachment to the request, </w:t>
      </w:r>
      <w:r w:rsidRPr="00B61B66">
        <w:rPr>
          <w:rFonts w:ascii="Arial" w:eastAsia="Times New Roman" w:hAnsi="Arial" w:cs="Arial"/>
          <w:color w:val="000000" w:themeColor="text1"/>
          <w:sz w:val="24"/>
          <w:szCs w:val="24"/>
        </w:rPr>
        <w:lastRenderedPageBreak/>
        <w:t xml:space="preserve">a justification that explains why the obligation of funds to support the requested conference is required to be made during the period of the moratorium. </w:t>
      </w:r>
      <w:r w:rsidR="0024106E" w:rsidRPr="00B61B66">
        <w:rPr>
          <w:rFonts w:ascii="Arial" w:eastAsia="Times New Roman" w:hAnsi="Arial" w:cs="Arial"/>
          <w:color w:val="000000" w:themeColor="text1"/>
          <w:sz w:val="24"/>
          <w:szCs w:val="24"/>
        </w:rPr>
        <w:t xml:space="preserve"> </w:t>
      </w:r>
      <w:r w:rsidR="00BB129C" w:rsidRPr="00B61B66">
        <w:rPr>
          <w:rFonts w:ascii="Arial" w:eastAsia="Times New Roman" w:hAnsi="Arial" w:cs="Arial"/>
          <w:color w:val="000000" w:themeColor="text1"/>
          <w:sz w:val="24"/>
          <w:szCs w:val="24"/>
        </w:rPr>
        <w:t xml:space="preserve">Only requests for exceptions to the moratorium may be submitted during the period of the moratorium.  </w:t>
      </w:r>
      <w:r w:rsidR="0024106E" w:rsidRPr="00B61B66">
        <w:rPr>
          <w:rFonts w:ascii="Arial" w:eastAsia="Times New Roman" w:hAnsi="Arial" w:cs="Arial"/>
          <w:color w:val="000000" w:themeColor="text1"/>
          <w:sz w:val="24"/>
          <w:szCs w:val="24"/>
        </w:rPr>
        <w:t xml:space="preserve">Routine requests for approval of conferences will not be processed. </w:t>
      </w:r>
    </w:p>
    <w:p w:rsidR="00384A73" w:rsidRPr="00B61B66" w:rsidRDefault="00384A73" w:rsidP="00384A73">
      <w:pPr>
        <w:rPr>
          <w:rFonts w:ascii="Arial" w:hAnsi="Arial" w:cs="Arial"/>
          <w:color w:val="000000" w:themeColor="text1"/>
          <w:sz w:val="24"/>
          <w:szCs w:val="24"/>
        </w:rPr>
      </w:pPr>
      <w:r w:rsidRPr="00B61B66">
        <w:rPr>
          <w:rFonts w:ascii="Arial" w:hAnsi="Arial" w:cs="Arial"/>
          <w:color w:val="000000" w:themeColor="text1"/>
          <w:sz w:val="24"/>
          <w:szCs w:val="24"/>
        </w:rPr>
        <w:t xml:space="preserve">Requests for approval of exceptions should be mindful of the following areas highlighted by DHHS as requiring special attention: </w:t>
      </w:r>
    </w:p>
    <w:p w:rsidR="00384A73" w:rsidRPr="00B61B66" w:rsidRDefault="00384A73" w:rsidP="00384A73">
      <w:pPr>
        <w:numPr>
          <w:ilvl w:val="0"/>
          <w:numId w:val="1"/>
        </w:numPr>
        <w:spacing w:after="0" w:line="240" w:lineRule="auto"/>
        <w:rPr>
          <w:rFonts w:ascii="Arial" w:hAnsi="Arial" w:cs="Arial"/>
          <w:color w:val="000000" w:themeColor="text1"/>
          <w:sz w:val="24"/>
          <w:szCs w:val="24"/>
        </w:rPr>
      </w:pPr>
      <w:r w:rsidRPr="00B61B66">
        <w:rPr>
          <w:rFonts w:ascii="Arial" w:hAnsi="Arial" w:cs="Arial"/>
          <w:color w:val="000000" w:themeColor="text1"/>
          <w:sz w:val="24"/>
          <w:szCs w:val="24"/>
        </w:rPr>
        <w:t>Except in rare circumstances, conference support services should be acquired on a fixed-price type basis.</w:t>
      </w:r>
    </w:p>
    <w:p w:rsidR="00384A73" w:rsidRPr="00B61B66" w:rsidRDefault="00384A73" w:rsidP="00384A73">
      <w:pPr>
        <w:spacing w:after="0" w:line="240" w:lineRule="auto"/>
        <w:ind w:left="770"/>
        <w:rPr>
          <w:rFonts w:ascii="Arial" w:hAnsi="Arial" w:cs="Arial"/>
          <w:color w:val="000000" w:themeColor="text1"/>
          <w:sz w:val="24"/>
          <w:szCs w:val="24"/>
        </w:rPr>
      </w:pPr>
    </w:p>
    <w:p w:rsidR="00384A73" w:rsidRPr="00B61B66" w:rsidRDefault="00384A73" w:rsidP="00384A73">
      <w:pPr>
        <w:numPr>
          <w:ilvl w:val="0"/>
          <w:numId w:val="1"/>
        </w:numPr>
        <w:spacing w:after="0" w:line="240" w:lineRule="auto"/>
        <w:rPr>
          <w:rFonts w:ascii="Arial" w:hAnsi="Arial" w:cs="Arial"/>
          <w:color w:val="000000" w:themeColor="text1"/>
          <w:sz w:val="24"/>
          <w:szCs w:val="24"/>
        </w:rPr>
      </w:pPr>
      <w:r w:rsidRPr="00B61B66">
        <w:rPr>
          <w:rFonts w:ascii="Arial" w:hAnsi="Arial" w:cs="Arial"/>
          <w:color w:val="000000" w:themeColor="text1"/>
          <w:sz w:val="24"/>
          <w:szCs w:val="24"/>
        </w:rPr>
        <w:t>Contract/purchase order terms and conditions should not permit contractor acceptance of “complimentary services” i.e., room upgrades.</w:t>
      </w:r>
    </w:p>
    <w:p w:rsidR="00384A73" w:rsidRPr="00B61B66" w:rsidRDefault="00384A73" w:rsidP="00384A73">
      <w:pPr>
        <w:pStyle w:val="ListParagraph"/>
        <w:rPr>
          <w:rFonts w:ascii="Arial" w:hAnsi="Arial" w:cs="Arial"/>
          <w:color w:val="000000" w:themeColor="text1"/>
          <w:sz w:val="24"/>
          <w:szCs w:val="24"/>
        </w:rPr>
      </w:pPr>
    </w:p>
    <w:p w:rsidR="00384A73" w:rsidRPr="00B61B66" w:rsidRDefault="0067348D" w:rsidP="00384A73">
      <w:pPr>
        <w:numPr>
          <w:ilvl w:val="0"/>
          <w:numId w:val="1"/>
        </w:numPr>
        <w:spacing w:after="0" w:line="240" w:lineRule="auto"/>
        <w:rPr>
          <w:rFonts w:ascii="Arial" w:hAnsi="Arial" w:cs="Arial"/>
          <w:color w:val="000000" w:themeColor="text1"/>
          <w:sz w:val="24"/>
          <w:szCs w:val="24"/>
        </w:rPr>
      </w:pPr>
      <w:r w:rsidRPr="00B61B66">
        <w:rPr>
          <w:rFonts w:ascii="Arial" w:hAnsi="Arial" w:cs="Arial"/>
          <w:color w:val="000000" w:themeColor="text1"/>
          <w:sz w:val="24"/>
          <w:szCs w:val="24"/>
        </w:rPr>
        <w:t>Audio visual (A/V)</w:t>
      </w:r>
      <w:r w:rsidR="00384A73" w:rsidRPr="00B61B66">
        <w:rPr>
          <w:rFonts w:ascii="Arial" w:hAnsi="Arial" w:cs="Arial"/>
          <w:color w:val="000000" w:themeColor="text1"/>
          <w:sz w:val="24"/>
          <w:szCs w:val="24"/>
        </w:rPr>
        <w:t xml:space="preserve"> requirements should be limited to those determined essential and reasonable to the conduct of the conference activity.  Market research should be conducted to support proposed A/V costs.</w:t>
      </w:r>
    </w:p>
    <w:p w:rsidR="00384A73" w:rsidRPr="00B61B66" w:rsidRDefault="00384A73" w:rsidP="00384A73">
      <w:pPr>
        <w:pStyle w:val="ListParagraph"/>
        <w:rPr>
          <w:rFonts w:ascii="Arial" w:hAnsi="Arial" w:cs="Arial"/>
          <w:color w:val="000000" w:themeColor="text1"/>
          <w:sz w:val="24"/>
          <w:szCs w:val="24"/>
        </w:rPr>
      </w:pPr>
    </w:p>
    <w:p w:rsidR="00384A73" w:rsidRPr="00B61B66" w:rsidRDefault="00384A73" w:rsidP="00384A73">
      <w:pPr>
        <w:numPr>
          <w:ilvl w:val="0"/>
          <w:numId w:val="1"/>
        </w:numPr>
        <w:spacing w:after="0" w:line="240" w:lineRule="auto"/>
        <w:rPr>
          <w:rFonts w:ascii="Arial" w:hAnsi="Arial" w:cs="Arial"/>
          <w:color w:val="000000" w:themeColor="text1"/>
          <w:sz w:val="24"/>
          <w:szCs w:val="24"/>
        </w:rPr>
      </w:pPr>
      <w:r w:rsidRPr="00B61B66">
        <w:rPr>
          <w:rFonts w:ascii="Arial" w:hAnsi="Arial" w:cs="Arial"/>
          <w:color w:val="000000" w:themeColor="text1"/>
          <w:sz w:val="24"/>
          <w:szCs w:val="24"/>
        </w:rPr>
        <w:t xml:space="preserve">Cancellation costs associated with contractor support and venue should be minimized.  The NIHCATSII (Conference, Administrative, and Travel Services) contracts contain appropriate cancellation terms and conditions that are designed to minimize the Government’s liability.  Use of these contracts is highly recommended.  Refer to </w:t>
      </w:r>
      <w:hyperlink r:id="rId9" w:tooltip="NIH Conference, Administrative &amp; Travel Services webpage" w:history="1">
        <w:r w:rsidRPr="00B61B66">
          <w:rPr>
            <w:rStyle w:val="Hyperlink"/>
            <w:rFonts w:ascii="Arial" w:hAnsi="Arial" w:cs="Arial"/>
            <w:color w:val="000000" w:themeColor="text1"/>
            <w:sz w:val="24"/>
            <w:szCs w:val="24"/>
          </w:rPr>
          <w:t>http://nihcatsii.olao.od.nih.gov/</w:t>
        </w:r>
      </w:hyperlink>
      <w:r w:rsidRPr="00B61B66">
        <w:rPr>
          <w:rFonts w:ascii="Arial" w:hAnsi="Arial" w:cs="Arial"/>
          <w:color w:val="000000" w:themeColor="text1"/>
          <w:sz w:val="24"/>
          <w:szCs w:val="24"/>
        </w:rPr>
        <w:t xml:space="preserve"> for additional information.</w:t>
      </w:r>
    </w:p>
    <w:p w:rsidR="00384A73" w:rsidRPr="00B61B66" w:rsidRDefault="00384A73" w:rsidP="00384A73">
      <w:pPr>
        <w:spacing w:after="0" w:line="240" w:lineRule="auto"/>
        <w:ind w:left="770"/>
        <w:rPr>
          <w:rFonts w:ascii="Arial" w:hAnsi="Arial" w:cs="Arial"/>
          <w:color w:val="000000" w:themeColor="text1"/>
          <w:sz w:val="24"/>
          <w:szCs w:val="24"/>
        </w:rPr>
      </w:pPr>
    </w:p>
    <w:p w:rsidR="00384A73" w:rsidRPr="00B61B66" w:rsidRDefault="00384A73" w:rsidP="00384A73">
      <w:pPr>
        <w:rPr>
          <w:rFonts w:ascii="Arial" w:hAnsi="Arial" w:cs="Arial"/>
          <w:color w:val="000000" w:themeColor="text1"/>
          <w:sz w:val="24"/>
          <w:szCs w:val="24"/>
        </w:rPr>
      </w:pPr>
      <w:r w:rsidRPr="00B61B66">
        <w:rPr>
          <w:rFonts w:ascii="Arial" w:hAnsi="Arial" w:cs="Arial"/>
          <w:color w:val="000000" w:themeColor="text1"/>
          <w:sz w:val="24"/>
          <w:szCs w:val="24"/>
        </w:rPr>
        <w:t xml:space="preserve">During this two month moratorium, the Office of the Secretary will move immediately to bring together a working group with representatives from every OPDIV and STAFFDIV to define HHS-wide guidance in the areas mentioned above.   Additional guidance will be disseminated once it is made available. </w:t>
      </w:r>
    </w:p>
    <w:p w:rsidR="00384A73" w:rsidRPr="00B61B66" w:rsidRDefault="00384A73" w:rsidP="00384A73">
      <w:pPr>
        <w:rPr>
          <w:rFonts w:ascii="Arial" w:hAnsi="Arial" w:cs="Arial"/>
          <w:color w:val="000000" w:themeColor="text1"/>
          <w:sz w:val="24"/>
          <w:szCs w:val="24"/>
        </w:rPr>
      </w:pPr>
      <w:r w:rsidRPr="00B61B66">
        <w:rPr>
          <w:rFonts w:ascii="Arial" w:hAnsi="Arial" w:cs="Arial"/>
          <w:color w:val="000000" w:themeColor="text1"/>
          <w:sz w:val="24"/>
          <w:szCs w:val="24"/>
        </w:rPr>
        <w:t xml:space="preserve">Questions regarding this memorandum should be directed to </w:t>
      </w:r>
      <w:hyperlink r:id="rId10" w:history="1">
        <w:r w:rsidRPr="00B61B66">
          <w:rPr>
            <w:rStyle w:val="Hyperlink"/>
            <w:rFonts w:ascii="Arial" w:eastAsia="Arial Unicode MS" w:hAnsi="Arial" w:cs="Arial"/>
            <w:color w:val="000000" w:themeColor="text1"/>
            <w:sz w:val="24"/>
            <w:szCs w:val="24"/>
          </w:rPr>
          <w:t>EfficientSpendingPolicy@NIH.gov</w:t>
        </w:r>
      </w:hyperlink>
      <w:r w:rsidRPr="00B61B66">
        <w:rPr>
          <w:rFonts w:ascii="Arial" w:hAnsi="Arial" w:cs="Arial"/>
          <w:color w:val="000000" w:themeColor="text1"/>
          <w:sz w:val="24"/>
          <w:szCs w:val="24"/>
        </w:rPr>
        <w:t>.</w:t>
      </w:r>
    </w:p>
    <w:p w:rsidR="00384A73" w:rsidRPr="00B61B66" w:rsidRDefault="00384A73" w:rsidP="00384A73">
      <w:pPr>
        <w:pStyle w:val="Default"/>
        <w:rPr>
          <w:rFonts w:ascii="Arial" w:hAnsi="Arial" w:cs="Arial"/>
          <w:color w:val="000000" w:themeColor="text1"/>
        </w:rPr>
      </w:pPr>
      <w:r w:rsidRPr="00B61B66">
        <w:rPr>
          <w:rFonts w:ascii="Arial" w:hAnsi="Arial" w:cs="Arial"/>
          <w:color w:val="000000" w:themeColor="text1"/>
        </w:rPr>
        <w:t xml:space="preserve"> </w:t>
      </w:r>
    </w:p>
    <w:p w:rsidR="00384A73" w:rsidRPr="00B61B66" w:rsidRDefault="00384A73" w:rsidP="00384A73">
      <w:pPr>
        <w:pStyle w:val="Header"/>
        <w:rPr>
          <w:rFonts w:ascii="Arial" w:hAnsi="Arial" w:cs="Arial"/>
          <w:color w:val="000000" w:themeColor="text1"/>
          <w:szCs w:val="24"/>
        </w:rPr>
      </w:pPr>
      <w:r w:rsidRPr="00B61B66">
        <w:rPr>
          <w:rFonts w:ascii="Arial" w:hAnsi="Arial" w:cs="Arial"/>
          <w:color w:val="000000" w:themeColor="text1"/>
          <w:szCs w:val="24"/>
        </w:rPr>
        <w:t>/s/</w:t>
      </w:r>
      <w:r w:rsidRPr="00B61B66">
        <w:rPr>
          <w:rFonts w:ascii="Arial" w:hAnsi="Arial" w:cs="Arial"/>
          <w:color w:val="000000" w:themeColor="text1"/>
          <w:szCs w:val="24"/>
        </w:rPr>
        <w:tab/>
      </w:r>
    </w:p>
    <w:p w:rsidR="00384A73" w:rsidRPr="00B61B66" w:rsidRDefault="00384A73" w:rsidP="00384A73">
      <w:pPr>
        <w:pStyle w:val="Header"/>
        <w:rPr>
          <w:rFonts w:ascii="Arial" w:hAnsi="Arial" w:cs="Arial"/>
          <w:color w:val="000000" w:themeColor="text1"/>
          <w:szCs w:val="24"/>
        </w:rPr>
      </w:pPr>
    </w:p>
    <w:p w:rsidR="00384A73" w:rsidRPr="00B61B66" w:rsidRDefault="00384A73" w:rsidP="00384A73">
      <w:pPr>
        <w:pStyle w:val="Header"/>
        <w:rPr>
          <w:rFonts w:ascii="Arial" w:hAnsi="Arial" w:cs="Arial"/>
          <w:color w:val="000000" w:themeColor="text1"/>
          <w:szCs w:val="24"/>
        </w:rPr>
      </w:pPr>
      <w:r w:rsidRPr="00B61B66">
        <w:rPr>
          <w:rFonts w:ascii="Arial" w:hAnsi="Arial" w:cs="Arial"/>
          <w:color w:val="000000" w:themeColor="text1"/>
          <w:szCs w:val="24"/>
        </w:rPr>
        <w:t>__________________</w:t>
      </w:r>
      <w:r w:rsidRPr="00B61B66">
        <w:rPr>
          <w:rFonts w:ascii="Arial" w:hAnsi="Arial" w:cs="Arial"/>
          <w:color w:val="000000" w:themeColor="text1"/>
          <w:szCs w:val="24"/>
        </w:rPr>
        <w:tab/>
      </w:r>
    </w:p>
    <w:p w:rsidR="00C95885" w:rsidRPr="00B61B66" w:rsidRDefault="00384A73">
      <w:pPr>
        <w:rPr>
          <w:rFonts w:ascii="Arial" w:hAnsi="Arial" w:cs="Arial"/>
          <w:color w:val="000000" w:themeColor="text1"/>
          <w:sz w:val="24"/>
          <w:szCs w:val="24"/>
        </w:rPr>
      </w:pPr>
      <w:r w:rsidRPr="00B61B66">
        <w:rPr>
          <w:rFonts w:ascii="Arial" w:hAnsi="Arial" w:cs="Arial"/>
          <w:color w:val="000000" w:themeColor="text1"/>
          <w:sz w:val="24"/>
          <w:szCs w:val="24"/>
        </w:rPr>
        <w:t>Diane J. Frasier</w:t>
      </w:r>
    </w:p>
    <w:sectPr w:rsidR="00C95885" w:rsidRPr="00B61B66" w:rsidSect="003C7353">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7CD7" w:rsidRDefault="00EA7CD7">
      <w:pPr>
        <w:spacing w:after="0" w:line="240" w:lineRule="auto"/>
      </w:pPr>
      <w:r>
        <w:separator/>
      </w:r>
    </w:p>
  </w:endnote>
  <w:endnote w:type="continuationSeparator" w:id="0">
    <w:p w:rsidR="00EA7CD7" w:rsidRDefault="00EA7C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693110"/>
      <w:docPartObj>
        <w:docPartGallery w:val="Page Numbers (Bottom of Page)"/>
        <w:docPartUnique/>
      </w:docPartObj>
    </w:sdtPr>
    <w:sdtEndPr/>
    <w:sdtContent>
      <w:p w:rsidR="003C7353" w:rsidRDefault="00C85A15">
        <w:pPr>
          <w:pStyle w:val="Footer"/>
          <w:jc w:val="center"/>
        </w:pPr>
        <w:r>
          <w:fldChar w:fldCharType="begin"/>
        </w:r>
        <w:r>
          <w:instrText xml:space="preserve"> PAGE   \* MERGEFORMAT </w:instrText>
        </w:r>
        <w:r>
          <w:fldChar w:fldCharType="separate"/>
        </w:r>
        <w:r w:rsidR="00C62940">
          <w:rPr>
            <w:noProof/>
          </w:rPr>
          <w:t>1</w:t>
        </w:r>
        <w:r>
          <w:fldChar w:fldCharType="end"/>
        </w:r>
      </w:p>
    </w:sdtContent>
  </w:sdt>
  <w:p w:rsidR="003C7353" w:rsidRDefault="00C629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7CD7" w:rsidRDefault="00EA7CD7">
      <w:pPr>
        <w:spacing w:after="0" w:line="240" w:lineRule="auto"/>
      </w:pPr>
      <w:r>
        <w:separator/>
      </w:r>
    </w:p>
  </w:footnote>
  <w:footnote w:type="continuationSeparator" w:id="0">
    <w:p w:rsidR="00EA7CD7" w:rsidRDefault="00EA7CD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BB4163"/>
    <w:multiLevelType w:val="hybridMultilevel"/>
    <w:tmpl w:val="5C7C7148"/>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A73"/>
    <w:rsid w:val="0024106E"/>
    <w:rsid w:val="003018AF"/>
    <w:rsid w:val="00365E61"/>
    <w:rsid w:val="00384A73"/>
    <w:rsid w:val="00470A60"/>
    <w:rsid w:val="004D6B51"/>
    <w:rsid w:val="00504A84"/>
    <w:rsid w:val="00560C44"/>
    <w:rsid w:val="00666A12"/>
    <w:rsid w:val="0067348D"/>
    <w:rsid w:val="008B05E3"/>
    <w:rsid w:val="00A04AD3"/>
    <w:rsid w:val="00AB6BB1"/>
    <w:rsid w:val="00B61B66"/>
    <w:rsid w:val="00BB129C"/>
    <w:rsid w:val="00C62940"/>
    <w:rsid w:val="00C85A15"/>
    <w:rsid w:val="00C95885"/>
    <w:rsid w:val="00D7431F"/>
    <w:rsid w:val="00E163EC"/>
    <w:rsid w:val="00EA7CD7"/>
    <w:rsid w:val="00FA0572"/>
    <w:rsid w:val="00FA66B7"/>
    <w:rsid w:val="00FF51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384A73"/>
    <w:rPr>
      <w:color w:val="0000FF"/>
      <w:u w:val="single"/>
    </w:rPr>
  </w:style>
  <w:style w:type="paragraph" w:styleId="Header">
    <w:name w:val="header"/>
    <w:basedOn w:val="Normal"/>
    <w:link w:val="HeaderChar"/>
    <w:uiPriority w:val="99"/>
    <w:rsid w:val="00384A73"/>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uiPriority w:val="99"/>
    <w:rsid w:val="00384A73"/>
    <w:rPr>
      <w:rFonts w:ascii="Times New Roman" w:eastAsia="Times New Roman" w:hAnsi="Times New Roman" w:cs="Times New Roman"/>
      <w:sz w:val="24"/>
      <w:szCs w:val="20"/>
    </w:rPr>
  </w:style>
  <w:style w:type="paragraph" w:customStyle="1" w:styleId="Default">
    <w:name w:val="Default"/>
    <w:rsid w:val="00384A73"/>
    <w:pPr>
      <w:autoSpaceDE w:val="0"/>
      <w:autoSpaceDN w:val="0"/>
      <w:adjustRightInd w:val="0"/>
      <w:spacing w:after="0" w:line="240" w:lineRule="auto"/>
    </w:pPr>
    <w:rPr>
      <w:rFonts w:ascii="Times New Roman" w:hAnsi="Times New Roman" w:cs="Times New Roman"/>
      <w:color w:val="000000"/>
      <w:sz w:val="24"/>
      <w:szCs w:val="24"/>
    </w:rPr>
  </w:style>
  <w:style w:type="paragraph" w:styleId="Footer">
    <w:name w:val="footer"/>
    <w:basedOn w:val="Normal"/>
    <w:link w:val="FooterChar"/>
    <w:uiPriority w:val="99"/>
    <w:unhideWhenUsed/>
    <w:rsid w:val="00384A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4A73"/>
    <w:rPr>
      <w:rFonts w:eastAsiaTheme="minorEastAsia"/>
    </w:rPr>
  </w:style>
  <w:style w:type="paragraph" w:styleId="ListParagraph">
    <w:name w:val="List Paragraph"/>
    <w:basedOn w:val="Normal"/>
    <w:uiPriority w:val="34"/>
    <w:qFormat/>
    <w:rsid w:val="00384A73"/>
    <w:pPr>
      <w:spacing w:after="0" w:line="240" w:lineRule="auto"/>
      <w:ind w:left="720"/>
    </w:pPr>
    <w:rPr>
      <w:rFonts w:ascii="Calibri" w:eastAsiaTheme="minorHAnsi" w:hAnsi="Calibri" w:cs="Times New Roman"/>
    </w:rPr>
  </w:style>
  <w:style w:type="character" w:styleId="CommentReference">
    <w:name w:val="annotation reference"/>
    <w:basedOn w:val="DefaultParagraphFont"/>
    <w:uiPriority w:val="99"/>
    <w:semiHidden/>
    <w:unhideWhenUsed/>
    <w:rsid w:val="00384A73"/>
    <w:rPr>
      <w:sz w:val="16"/>
      <w:szCs w:val="16"/>
    </w:rPr>
  </w:style>
  <w:style w:type="paragraph" w:styleId="CommentText">
    <w:name w:val="annotation text"/>
    <w:basedOn w:val="Normal"/>
    <w:link w:val="CommentTextChar"/>
    <w:uiPriority w:val="99"/>
    <w:semiHidden/>
    <w:unhideWhenUsed/>
    <w:rsid w:val="00384A73"/>
    <w:pPr>
      <w:spacing w:line="240" w:lineRule="auto"/>
    </w:pPr>
    <w:rPr>
      <w:sz w:val="20"/>
      <w:szCs w:val="20"/>
    </w:rPr>
  </w:style>
  <w:style w:type="character" w:customStyle="1" w:styleId="CommentTextChar">
    <w:name w:val="Comment Text Char"/>
    <w:basedOn w:val="DefaultParagraphFont"/>
    <w:link w:val="CommentText"/>
    <w:uiPriority w:val="99"/>
    <w:semiHidden/>
    <w:rsid w:val="00384A73"/>
    <w:rPr>
      <w:rFonts w:eastAsiaTheme="minorEastAsia"/>
      <w:sz w:val="20"/>
      <w:szCs w:val="20"/>
    </w:rPr>
  </w:style>
  <w:style w:type="paragraph" w:styleId="BalloonText">
    <w:name w:val="Balloon Text"/>
    <w:basedOn w:val="Normal"/>
    <w:link w:val="BalloonTextChar"/>
    <w:uiPriority w:val="99"/>
    <w:semiHidden/>
    <w:unhideWhenUsed/>
    <w:rsid w:val="00384A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4A73"/>
    <w:rPr>
      <w:rFonts w:ascii="Tahoma" w:eastAsiaTheme="minorEastAsia" w:hAnsi="Tahoma" w:cs="Tahoma"/>
      <w:sz w:val="16"/>
      <w:szCs w:val="16"/>
    </w:rPr>
  </w:style>
  <w:style w:type="paragraph" w:styleId="Revision">
    <w:name w:val="Revision"/>
    <w:hidden/>
    <w:uiPriority w:val="99"/>
    <w:semiHidden/>
    <w:rsid w:val="00384A73"/>
    <w:pPr>
      <w:spacing w:after="0" w:line="240" w:lineRule="auto"/>
    </w:pPr>
  </w:style>
  <w:style w:type="character" w:styleId="FollowedHyperlink">
    <w:name w:val="FollowedHyperlink"/>
    <w:basedOn w:val="DefaultParagraphFont"/>
    <w:uiPriority w:val="99"/>
    <w:semiHidden/>
    <w:unhideWhenUsed/>
    <w:rsid w:val="00D7431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384A73"/>
    <w:rPr>
      <w:color w:val="0000FF"/>
      <w:u w:val="single"/>
    </w:rPr>
  </w:style>
  <w:style w:type="paragraph" w:styleId="Header">
    <w:name w:val="header"/>
    <w:basedOn w:val="Normal"/>
    <w:link w:val="HeaderChar"/>
    <w:uiPriority w:val="99"/>
    <w:rsid w:val="00384A73"/>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uiPriority w:val="99"/>
    <w:rsid w:val="00384A73"/>
    <w:rPr>
      <w:rFonts w:ascii="Times New Roman" w:eastAsia="Times New Roman" w:hAnsi="Times New Roman" w:cs="Times New Roman"/>
      <w:sz w:val="24"/>
      <w:szCs w:val="20"/>
    </w:rPr>
  </w:style>
  <w:style w:type="paragraph" w:customStyle="1" w:styleId="Default">
    <w:name w:val="Default"/>
    <w:rsid w:val="00384A73"/>
    <w:pPr>
      <w:autoSpaceDE w:val="0"/>
      <w:autoSpaceDN w:val="0"/>
      <w:adjustRightInd w:val="0"/>
      <w:spacing w:after="0" w:line="240" w:lineRule="auto"/>
    </w:pPr>
    <w:rPr>
      <w:rFonts w:ascii="Times New Roman" w:hAnsi="Times New Roman" w:cs="Times New Roman"/>
      <w:color w:val="000000"/>
      <w:sz w:val="24"/>
      <w:szCs w:val="24"/>
    </w:rPr>
  </w:style>
  <w:style w:type="paragraph" w:styleId="Footer">
    <w:name w:val="footer"/>
    <w:basedOn w:val="Normal"/>
    <w:link w:val="FooterChar"/>
    <w:uiPriority w:val="99"/>
    <w:unhideWhenUsed/>
    <w:rsid w:val="00384A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4A73"/>
    <w:rPr>
      <w:rFonts w:eastAsiaTheme="minorEastAsia"/>
    </w:rPr>
  </w:style>
  <w:style w:type="paragraph" w:styleId="ListParagraph">
    <w:name w:val="List Paragraph"/>
    <w:basedOn w:val="Normal"/>
    <w:uiPriority w:val="34"/>
    <w:qFormat/>
    <w:rsid w:val="00384A73"/>
    <w:pPr>
      <w:spacing w:after="0" w:line="240" w:lineRule="auto"/>
      <w:ind w:left="720"/>
    </w:pPr>
    <w:rPr>
      <w:rFonts w:ascii="Calibri" w:eastAsiaTheme="minorHAnsi" w:hAnsi="Calibri" w:cs="Times New Roman"/>
    </w:rPr>
  </w:style>
  <w:style w:type="character" w:styleId="CommentReference">
    <w:name w:val="annotation reference"/>
    <w:basedOn w:val="DefaultParagraphFont"/>
    <w:uiPriority w:val="99"/>
    <w:semiHidden/>
    <w:unhideWhenUsed/>
    <w:rsid w:val="00384A73"/>
    <w:rPr>
      <w:sz w:val="16"/>
      <w:szCs w:val="16"/>
    </w:rPr>
  </w:style>
  <w:style w:type="paragraph" w:styleId="CommentText">
    <w:name w:val="annotation text"/>
    <w:basedOn w:val="Normal"/>
    <w:link w:val="CommentTextChar"/>
    <w:uiPriority w:val="99"/>
    <w:semiHidden/>
    <w:unhideWhenUsed/>
    <w:rsid w:val="00384A73"/>
    <w:pPr>
      <w:spacing w:line="240" w:lineRule="auto"/>
    </w:pPr>
    <w:rPr>
      <w:sz w:val="20"/>
      <w:szCs w:val="20"/>
    </w:rPr>
  </w:style>
  <w:style w:type="character" w:customStyle="1" w:styleId="CommentTextChar">
    <w:name w:val="Comment Text Char"/>
    <w:basedOn w:val="DefaultParagraphFont"/>
    <w:link w:val="CommentText"/>
    <w:uiPriority w:val="99"/>
    <w:semiHidden/>
    <w:rsid w:val="00384A73"/>
    <w:rPr>
      <w:rFonts w:eastAsiaTheme="minorEastAsia"/>
      <w:sz w:val="20"/>
      <w:szCs w:val="20"/>
    </w:rPr>
  </w:style>
  <w:style w:type="paragraph" w:styleId="BalloonText">
    <w:name w:val="Balloon Text"/>
    <w:basedOn w:val="Normal"/>
    <w:link w:val="BalloonTextChar"/>
    <w:uiPriority w:val="99"/>
    <w:semiHidden/>
    <w:unhideWhenUsed/>
    <w:rsid w:val="00384A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4A73"/>
    <w:rPr>
      <w:rFonts w:ascii="Tahoma" w:eastAsiaTheme="minorEastAsia" w:hAnsi="Tahoma" w:cs="Tahoma"/>
      <w:sz w:val="16"/>
      <w:szCs w:val="16"/>
    </w:rPr>
  </w:style>
  <w:style w:type="paragraph" w:styleId="Revision">
    <w:name w:val="Revision"/>
    <w:hidden/>
    <w:uiPriority w:val="99"/>
    <w:semiHidden/>
    <w:rsid w:val="00384A73"/>
    <w:pPr>
      <w:spacing w:after="0" w:line="240" w:lineRule="auto"/>
    </w:pPr>
  </w:style>
  <w:style w:type="character" w:styleId="FollowedHyperlink">
    <w:name w:val="FollowedHyperlink"/>
    <w:basedOn w:val="DefaultParagraphFont"/>
    <w:uiPriority w:val="99"/>
    <w:semiHidden/>
    <w:unhideWhenUsed/>
    <w:rsid w:val="00D7431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amp.od.nih.gov/ContractToolBox/SpendingPolicy.asp"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EfficientSpendingPolicy@NIH.gov" TargetMode="External"/><Relationship Id="rId4" Type="http://schemas.openxmlformats.org/officeDocument/2006/relationships/settings" Target="settings.xml"/><Relationship Id="rId9" Type="http://schemas.openxmlformats.org/officeDocument/2006/relationships/hyperlink" Target="http://nihcatsii.olao.od.nih.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637</Words>
  <Characters>3637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Memo - Moratorium on Award Obligations for Conference Support 1/9/13</vt:lpstr>
    </vt:vector>
  </TitlesOfParts>
  <Company>NIH\OD</Company>
  <LinksUpToDate>false</LinksUpToDate>
  <CharactersWithSpaces>4266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 - Moratorium on Award Obligations for Conference Support 1/9/13</dc:title>
  <dc:subject>Memo - Moratorium on Award Obligations for Conference Support</dc:subject>
  <dc:creator>NIH/OALM/OAMP/DSAPS</dc:creator>
  <dc:description>508 Compliant 1/10/13</dc:description>
  <cp:lastModifiedBy>kaminsks</cp:lastModifiedBy>
  <cp:revision>5</cp:revision>
  <cp:lastPrinted>2012-12-19T17:03:00Z</cp:lastPrinted>
  <dcterms:created xsi:type="dcterms:W3CDTF">2013-01-09T20:40:00Z</dcterms:created>
  <dcterms:modified xsi:type="dcterms:W3CDTF">2013-01-10T13:11:00Z</dcterms:modified>
</cp:coreProperties>
</file>