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8E" w:rsidRPr="00A15171" w:rsidRDefault="0034468E" w:rsidP="00F66BE6">
      <w:pPr>
        <w:pStyle w:val="Header"/>
        <w:spacing w:before="100" w:beforeAutospacing="1" w:after="100" w:afterAutospacing="1"/>
        <w:rPr>
          <w:szCs w:val="24"/>
        </w:rPr>
      </w:pPr>
      <w:bookmarkStart w:id="0" w:name="_GoBack"/>
      <w:bookmarkEnd w:id="0"/>
      <w:r w:rsidRPr="00A15171">
        <w:rPr>
          <w:szCs w:val="24"/>
        </w:rPr>
        <w:t xml:space="preserve">June </w:t>
      </w:r>
      <w:r>
        <w:rPr>
          <w:szCs w:val="24"/>
        </w:rPr>
        <w:t>1</w:t>
      </w:r>
      <w:r w:rsidR="00495637">
        <w:rPr>
          <w:szCs w:val="24"/>
        </w:rPr>
        <w:t>5</w:t>
      </w:r>
      <w:r w:rsidRPr="00A15171">
        <w:rPr>
          <w:szCs w:val="24"/>
        </w:rPr>
        <w:t>, 2012</w:t>
      </w:r>
    </w:p>
    <w:p w:rsidR="0034468E" w:rsidRPr="00A15171" w:rsidRDefault="0034468E" w:rsidP="0034468E">
      <w:pPr>
        <w:pStyle w:val="Header"/>
        <w:tabs>
          <w:tab w:val="clear" w:pos="4320"/>
          <w:tab w:val="clear" w:pos="8640"/>
        </w:tabs>
        <w:rPr>
          <w:szCs w:val="24"/>
        </w:rPr>
      </w:pPr>
      <w:r w:rsidRPr="00A15171">
        <w:rPr>
          <w:szCs w:val="24"/>
        </w:rPr>
        <w:t>MEMORANDUM</w:t>
      </w:r>
    </w:p>
    <w:p w:rsidR="0034468E" w:rsidRPr="00A15171" w:rsidRDefault="0034468E" w:rsidP="0034468E">
      <w:pPr>
        <w:pStyle w:val="Header"/>
        <w:tabs>
          <w:tab w:val="clear" w:pos="4320"/>
          <w:tab w:val="clear" w:pos="8640"/>
        </w:tabs>
        <w:rPr>
          <w:szCs w:val="24"/>
        </w:rPr>
      </w:pPr>
    </w:p>
    <w:p w:rsidR="0034468E" w:rsidRPr="00A15171" w:rsidRDefault="0034468E" w:rsidP="0034468E">
      <w:pPr>
        <w:pStyle w:val="Header"/>
        <w:tabs>
          <w:tab w:val="clear" w:pos="4320"/>
          <w:tab w:val="clear" w:pos="8640"/>
        </w:tabs>
        <w:rPr>
          <w:szCs w:val="24"/>
        </w:rPr>
      </w:pPr>
      <w:r w:rsidRPr="00A15171">
        <w:rPr>
          <w:szCs w:val="24"/>
        </w:rPr>
        <w:t>To:</w:t>
      </w:r>
      <w:r w:rsidRPr="00A15171">
        <w:rPr>
          <w:szCs w:val="24"/>
        </w:rPr>
        <w:tab/>
      </w:r>
      <w:r w:rsidRPr="00A15171">
        <w:rPr>
          <w:szCs w:val="24"/>
        </w:rPr>
        <w:tab/>
        <w:t>NIH Executive Officers</w:t>
      </w:r>
    </w:p>
    <w:p w:rsidR="0034468E" w:rsidRPr="00A15171" w:rsidRDefault="0034468E" w:rsidP="0034468E">
      <w:pPr>
        <w:pStyle w:val="Header"/>
        <w:tabs>
          <w:tab w:val="clear" w:pos="4320"/>
          <w:tab w:val="clear" w:pos="8640"/>
        </w:tabs>
        <w:ind w:left="720" w:firstLine="720"/>
        <w:rPr>
          <w:szCs w:val="24"/>
        </w:rPr>
      </w:pPr>
      <w:r w:rsidRPr="00A15171">
        <w:rPr>
          <w:szCs w:val="24"/>
        </w:rPr>
        <w:t>NIH Acquisition Community</w:t>
      </w:r>
    </w:p>
    <w:p w:rsidR="0034468E" w:rsidRPr="00A15171" w:rsidRDefault="0034468E" w:rsidP="0034468E">
      <w:pPr>
        <w:pStyle w:val="Header"/>
        <w:tabs>
          <w:tab w:val="clear" w:pos="4320"/>
          <w:tab w:val="clear" w:pos="8640"/>
        </w:tabs>
        <w:rPr>
          <w:szCs w:val="24"/>
        </w:rPr>
      </w:pPr>
      <w:r w:rsidRPr="00A15171">
        <w:rPr>
          <w:szCs w:val="24"/>
        </w:rPr>
        <w:tab/>
      </w:r>
      <w:r w:rsidRPr="00A15171">
        <w:rPr>
          <w:szCs w:val="24"/>
        </w:rPr>
        <w:tab/>
        <w:t>NIH Grants Management Community</w:t>
      </w:r>
    </w:p>
    <w:p w:rsidR="0034468E" w:rsidRPr="00A15171" w:rsidRDefault="0034468E" w:rsidP="0034468E">
      <w:pPr>
        <w:pStyle w:val="Header"/>
        <w:tabs>
          <w:tab w:val="clear" w:pos="4320"/>
          <w:tab w:val="clear" w:pos="8640"/>
        </w:tabs>
        <w:rPr>
          <w:szCs w:val="24"/>
        </w:rPr>
      </w:pPr>
      <w:r w:rsidRPr="00A15171">
        <w:rPr>
          <w:szCs w:val="24"/>
        </w:rPr>
        <w:tab/>
      </w:r>
      <w:r w:rsidRPr="00A15171">
        <w:rPr>
          <w:szCs w:val="24"/>
        </w:rPr>
        <w:tab/>
        <w:t>NIH Project Officers</w:t>
      </w:r>
    </w:p>
    <w:p w:rsidR="0034468E" w:rsidRPr="00A15171" w:rsidRDefault="0034468E" w:rsidP="0034468E">
      <w:pPr>
        <w:pStyle w:val="Header"/>
        <w:tabs>
          <w:tab w:val="clear" w:pos="4320"/>
          <w:tab w:val="clear" w:pos="8640"/>
        </w:tabs>
        <w:ind w:left="720" w:firstLine="720"/>
        <w:rPr>
          <w:szCs w:val="24"/>
        </w:rPr>
      </w:pPr>
      <w:r w:rsidRPr="00A15171">
        <w:rPr>
          <w:szCs w:val="24"/>
        </w:rPr>
        <w:t>Intramural and Extramural Administrative Management Committee Chairs</w:t>
      </w:r>
    </w:p>
    <w:p w:rsidR="0034468E" w:rsidRPr="00A15171" w:rsidRDefault="0034468E" w:rsidP="0034468E">
      <w:pPr>
        <w:pStyle w:val="Header"/>
        <w:tabs>
          <w:tab w:val="clear" w:pos="4320"/>
          <w:tab w:val="clear" w:pos="8640"/>
        </w:tabs>
        <w:rPr>
          <w:szCs w:val="24"/>
        </w:rPr>
      </w:pPr>
    </w:p>
    <w:p w:rsidR="0034468E" w:rsidRPr="00A15171" w:rsidRDefault="0034468E" w:rsidP="0034468E">
      <w:pPr>
        <w:pStyle w:val="Header"/>
        <w:tabs>
          <w:tab w:val="clear" w:pos="4320"/>
          <w:tab w:val="clear" w:pos="8640"/>
        </w:tabs>
        <w:rPr>
          <w:szCs w:val="24"/>
        </w:rPr>
      </w:pPr>
      <w:r w:rsidRPr="00A15171">
        <w:rPr>
          <w:szCs w:val="24"/>
        </w:rPr>
        <w:t xml:space="preserve">From: </w:t>
      </w:r>
      <w:r w:rsidRPr="00A15171">
        <w:rPr>
          <w:szCs w:val="24"/>
        </w:rPr>
        <w:tab/>
      </w:r>
      <w:r w:rsidRPr="00A15171">
        <w:rPr>
          <w:szCs w:val="24"/>
        </w:rPr>
        <w:tab/>
        <w:t>Deputy Director for Management, NIH</w:t>
      </w:r>
    </w:p>
    <w:p w:rsidR="0034468E" w:rsidRPr="00A15171" w:rsidRDefault="0034468E" w:rsidP="0034468E">
      <w:pPr>
        <w:pStyle w:val="Header"/>
        <w:tabs>
          <w:tab w:val="clear" w:pos="4320"/>
          <w:tab w:val="clear" w:pos="8640"/>
        </w:tabs>
        <w:ind w:left="720" w:firstLine="720"/>
        <w:rPr>
          <w:szCs w:val="24"/>
        </w:rPr>
      </w:pPr>
      <w:r w:rsidRPr="00A15171">
        <w:rPr>
          <w:szCs w:val="24"/>
        </w:rPr>
        <w:t xml:space="preserve">Deputy Director for Extramural Research, NIH </w:t>
      </w:r>
    </w:p>
    <w:p w:rsidR="0034468E" w:rsidRPr="00A15171" w:rsidRDefault="0034468E" w:rsidP="0034468E">
      <w:pPr>
        <w:pStyle w:val="Header"/>
        <w:tabs>
          <w:tab w:val="clear" w:pos="4320"/>
          <w:tab w:val="clear" w:pos="8640"/>
        </w:tabs>
        <w:ind w:left="720" w:firstLine="720"/>
        <w:rPr>
          <w:szCs w:val="24"/>
        </w:rPr>
      </w:pPr>
    </w:p>
    <w:p w:rsidR="0034468E" w:rsidRPr="00A15171" w:rsidRDefault="0034468E" w:rsidP="0034468E">
      <w:pPr>
        <w:pStyle w:val="Header"/>
        <w:tabs>
          <w:tab w:val="clear" w:pos="4320"/>
          <w:tab w:val="clear" w:pos="8640"/>
        </w:tabs>
        <w:ind w:left="1440" w:hanging="1440"/>
        <w:rPr>
          <w:szCs w:val="24"/>
        </w:rPr>
      </w:pPr>
      <w:r w:rsidRPr="00A15171">
        <w:rPr>
          <w:szCs w:val="24"/>
        </w:rPr>
        <w:t>Subject:</w:t>
      </w:r>
      <w:r w:rsidRPr="00A15171">
        <w:rPr>
          <w:szCs w:val="24"/>
        </w:rPr>
        <w:tab/>
      </w:r>
      <w:r w:rsidR="00D47FBE">
        <w:rPr>
          <w:szCs w:val="24"/>
        </w:rPr>
        <w:t>Implementation Guidance of the DHHS Efficient Spending Policy</w:t>
      </w:r>
    </w:p>
    <w:p w:rsidR="0034468E" w:rsidRPr="00A15171" w:rsidRDefault="0034468E" w:rsidP="0034468E">
      <w:pPr>
        <w:pStyle w:val="Header"/>
        <w:tabs>
          <w:tab w:val="clear" w:pos="4320"/>
          <w:tab w:val="clear" w:pos="8640"/>
        </w:tabs>
        <w:rPr>
          <w:szCs w:val="24"/>
        </w:rPr>
      </w:pPr>
    </w:p>
    <w:p w:rsidR="0034468E" w:rsidRPr="00A15171" w:rsidRDefault="0034468E" w:rsidP="0034468E">
      <w:pPr>
        <w:pStyle w:val="Header"/>
        <w:tabs>
          <w:tab w:val="clear" w:pos="4320"/>
          <w:tab w:val="clear" w:pos="8640"/>
        </w:tabs>
        <w:rPr>
          <w:szCs w:val="24"/>
        </w:rPr>
      </w:pPr>
    </w:p>
    <w:p w:rsidR="0034468E" w:rsidRPr="00A15171" w:rsidRDefault="0034468E" w:rsidP="0034468E">
      <w:pPr>
        <w:rPr>
          <w:szCs w:val="24"/>
        </w:rPr>
      </w:pPr>
      <w:r w:rsidRPr="00A15171">
        <w:rPr>
          <w:szCs w:val="24"/>
        </w:rPr>
        <w:t xml:space="preserve">On September 21, 2011, the Office of Management and Budget issued Memorandum </w:t>
      </w:r>
      <w:hyperlink r:id="rId9" w:history="1">
        <w:r w:rsidRPr="00A15171">
          <w:rPr>
            <w:rStyle w:val="Hyperlink"/>
            <w:rFonts w:eastAsia="Arial Unicode MS"/>
          </w:rPr>
          <w:t>M-1</w:t>
        </w:r>
        <w:r w:rsidRPr="00A15171">
          <w:rPr>
            <w:rStyle w:val="Hyperlink"/>
            <w:rFonts w:eastAsia="Arial Unicode MS"/>
          </w:rPr>
          <w:t>1</w:t>
        </w:r>
        <w:r w:rsidRPr="00A15171">
          <w:rPr>
            <w:rStyle w:val="Hyperlink"/>
            <w:rFonts w:eastAsia="Arial Unicode MS"/>
          </w:rPr>
          <w:t>-35</w:t>
        </w:r>
      </w:hyperlink>
      <w:r w:rsidR="00D96DD1">
        <w:rPr>
          <w:rStyle w:val="Hyperlink"/>
          <w:rFonts w:eastAsia="Arial Unicode MS"/>
        </w:rPr>
        <w:t xml:space="preserve"> </w:t>
      </w:r>
      <w:r w:rsidRPr="00A15171">
        <w:rPr>
          <w:szCs w:val="24"/>
        </w:rPr>
        <w:t>“Eliminating Excess Conference Spending and Promoti</w:t>
      </w:r>
      <w:r w:rsidR="00D47FBE">
        <w:rPr>
          <w:szCs w:val="24"/>
        </w:rPr>
        <w:t>ng</w:t>
      </w:r>
      <w:r w:rsidRPr="00A15171">
        <w:rPr>
          <w:szCs w:val="24"/>
        </w:rPr>
        <w:t xml:space="preserve"> Efficiency in Government” emphasizing the President’s priority to ensure that the Government operates with the utmost efficiency and eliminates unnecessary or wasteful spending.  This was followed on November 9, 2011 with </w:t>
      </w:r>
      <w:hyperlink r:id="rId10" w:history="1">
        <w:r w:rsidRPr="00A15171">
          <w:rPr>
            <w:rStyle w:val="Hyperlink"/>
            <w:rFonts w:eastAsia="Arial Unicode MS"/>
          </w:rPr>
          <w:t xml:space="preserve">Executive </w:t>
        </w:r>
        <w:r w:rsidRPr="00A15171">
          <w:rPr>
            <w:rStyle w:val="Hyperlink"/>
            <w:rFonts w:eastAsia="Arial Unicode MS"/>
          </w:rPr>
          <w:t>O</w:t>
        </w:r>
        <w:r w:rsidRPr="00A15171">
          <w:rPr>
            <w:rStyle w:val="Hyperlink"/>
            <w:rFonts w:eastAsia="Arial Unicode MS"/>
          </w:rPr>
          <w:t>rder 13589</w:t>
        </w:r>
      </w:hyperlink>
      <w:r w:rsidRPr="00A15171">
        <w:rPr>
          <w:szCs w:val="24"/>
        </w:rPr>
        <w:t xml:space="preserve"> “Promoting Efficient Spending” and on June 1</w:t>
      </w:r>
      <w:r w:rsidR="00495637">
        <w:rPr>
          <w:szCs w:val="24"/>
        </w:rPr>
        <w:t>3</w:t>
      </w:r>
      <w:r w:rsidRPr="00A15171">
        <w:rPr>
          <w:szCs w:val="24"/>
        </w:rPr>
        <w:t xml:space="preserve">, 2011 by </w:t>
      </w:r>
      <w:hyperlink r:id="rId11" w:history="1">
        <w:r w:rsidRPr="00A15171">
          <w:rPr>
            <w:rStyle w:val="Hyperlink"/>
            <w:rFonts w:eastAsia="Arial Unicode MS"/>
          </w:rPr>
          <w:t>Executive Ord</w:t>
        </w:r>
        <w:r w:rsidRPr="00A15171">
          <w:rPr>
            <w:rStyle w:val="Hyperlink"/>
            <w:rFonts w:eastAsia="Arial Unicode MS"/>
          </w:rPr>
          <w:t>e</w:t>
        </w:r>
        <w:r w:rsidRPr="00A15171">
          <w:rPr>
            <w:rStyle w:val="Hyperlink"/>
            <w:rFonts w:eastAsia="Arial Unicode MS"/>
          </w:rPr>
          <w:t>r 13576</w:t>
        </w:r>
      </w:hyperlink>
      <w:r w:rsidRPr="00A15171">
        <w:rPr>
          <w:szCs w:val="24"/>
        </w:rPr>
        <w:t xml:space="preserve"> “Delivering an Efficient, Effective, and Accountable Government”. </w:t>
      </w:r>
      <w:r w:rsidR="009858B2">
        <w:rPr>
          <w:szCs w:val="24"/>
        </w:rPr>
        <w:t xml:space="preserve"> </w:t>
      </w:r>
      <w:r w:rsidRPr="00A15171">
        <w:rPr>
          <w:szCs w:val="24"/>
        </w:rPr>
        <w:t xml:space="preserve">On May 11, 2012 the Office of Management and Budget issued Memorandum </w:t>
      </w:r>
      <w:hyperlink r:id="rId12" w:history="1">
        <w:r w:rsidRPr="00A15171">
          <w:rPr>
            <w:rStyle w:val="Hyperlink"/>
            <w:rFonts w:eastAsia="Arial Unicode MS"/>
          </w:rPr>
          <w:t>M-12</w:t>
        </w:r>
        <w:r w:rsidRPr="00A15171">
          <w:rPr>
            <w:rStyle w:val="Hyperlink"/>
            <w:rFonts w:eastAsia="Arial Unicode MS"/>
          </w:rPr>
          <w:t>-</w:t>
        </w:r>
        <w:r w:rsidRPr="00A15171">
          <w:rPr>
            <w:rStyle w:val="Hyperlink"/>
            <w:rFonts w:eastAsia="Arial Unicode MS"/>
          </w:rPr>
          <w:t>12</w:t>
        </w:r>
      </w:hyperlink>
      <w:r w:rsidRPr="00A15171">
        <w:rPr>
          <w:szCs w:val="24"/>
        </w:rPr>
        <w:t xml:space="preserve"> “Promoting Efficient Spending to Support Agency Operations.”</w:t>
      </w:r>
    </w:p>
    <w:p w:rsidR="0034468E" w:rsidRPr="00A15171" w:rsidRDefault="0034468E" w:rsidP="0034468E">
      <w:pPr>
        <w:rPr>
          <w:szCs w:val="24"/>
        </w:rPr>
      </w:pPr>
    </w:p>
    <w:p w:rsidR="0034468E" w:rsidRPr="00A15171" w:rsidRDefault="0034468E" w:rsidP="0034468E">
      <w:pPr>
        <w:rPr>
          <w:szCs w:val="24"/>
        </w:rPr>
      </w:pPr>
      <w:r w:rsidRPr="00A15171">
        <w:rPr>
          <w:szCs w:val="24"/>
        </w:rPr>
        <w:t>In support of these administrative directives, the Department of Health and Human Services (</w:t>
      </w:r>
      <w:r w:rsidR="00D47FBE">
        <w:rPr>
          <w:szCs w:val="24"/>
        </w:rPr>
        <w:t>D</w:t>
      </w:r>
      <w:r w:rsidRPr="00A15171">
        <w:rPr>
          <w:szCs w:val="24"/>
        </w:rPr>
        <w:t xml:space="preserve">HHS) issued on January 3, 2012 a </w:t>
      </w:r>
      <w:hyperlink r:id="rId13" w:history="1">
        <w:r w:rsidRPr="0018194D">
          <w:rPr>
            <w:rStyle w:val="Hyperlink"/>
            <w:szCs w:val="24"/>
          </w:rPr>
          <w:t>memorandum “</w:t>
        </w:r>
        <w:r w:rsidR="00054EEC" w:rsidRPr="0018194D">
          <w:rPr>
            <w:rStyle w:val="Hyperlink"/>
            <w:szCs w:val="24"/>
          </w:rPr>
          <w:t>DH</w:t>
        </w:r>
        <w:r w:rsidR="00054EEC" w:rsidRPr="0018194D">
          <w:rPr>
            <w:rStyle w:val="Hyperlink"/>
            <w:szCs w:val="24"/>
          </w:rPr>
          <w:t>H</w:t>
        </w:r>
        <w:r w:rsidR="00054EEC" w:rsidRPr="0018194D">
          <w:rPr>
            <w:rStyle w:val="Hyperlink"/>
            <w:szCs w:val="24"/>
          </w:rPr>
          <w:t>S</w:t>
        </w:r>
        <w:r w:rsidRPr="0018194D">
          <w:rPr>
            <w:rStyle w:val="Hyperlink"/>
            <w:szCs w:val="24"/>
          </w:rPr>
          <w:t xml:space="preserve"> Policy on Promoting Efficient Spending:  Use of Appropriated Funds for Conferences and Meetings, Food, Promotional Items, and Printing, and Publications</w:t>
        </w:r>
      </w:hyperlink>
      <w:r w:rsidRPr="00A15171">
        <w:rPr>
          <w:szCs w:val="24"/>
        </w:rPr>
        <w:t>”</w:t>
      </w:r>
      <w:r w:rsidR="0018194D">
        <w:rPr>
          <w:szCs w:val="24"/>
        </w:rPr>
        <w:t>.</w:t>
      </w:r>
      <w:r w:rsidRPr="00A15171">
        <w:rPr>
          <w:szCs w:val="24"/>
        </w:rPr>
        <w:t xml:space="preserve">  On June 7, 2012 the DHHS issued revised policies with the same title.  The DHHS policy dated June 7, 2012 remove</w:t>
      </w:r>
      <w:r w:rsidR="00067631">
        <w:rPr>
          <w:szCs w:val="24"/>
        </w:rPr>
        <w:t>d</w:t>
      </w:r>
      <w:r w:rsidRPr="00A15171">
        <w:rPr>
          <w:szCs w:val="24"/>
        </w:rPr>
        <w:t xml:space="preserve"> and replace</w:t>
      </w:r>
      <w:r w:rsidR="00067631">
        <w:rPr>
          <w:szCs w:val="24"/>
        </w:rPr>
        <w:t>d</w:t>
      </w:r>
      <w:r w:rsidRPr="00A15171">
        <w:rPr>
          <w:szCs w:val="24"/>
        </w:rPr>
        <w:t xml:space="preserve"> Attachment 1</w:t>
      </w:r>
      <w:r w:rsidR="00104362">
        <w:rPr>
          <w:szCs w:val="24"/>
        </w:rPr>
        <w:t xml:space="preserve"> pertaining to conferences and meetings</w:t>
      </w:r>
      <w:r w:rsidRPr="00A15171">
        <w:rPr>
          <w:szCs w:val="24"/>
        </w:rPr>
        <w:t xml:space="preserve"> from the January 3, 2012 policy.  All other components of the January 3, 2012 policy (Use of Appropriated Funds for Food, Promotional Items, and Printing and Publications) remain in full force and effect.</w:t>
      </w:r>
    </w:p>
    <w:p w:rsidR="0034468E" w:rsidRPr="00A15171" w:rsidRDefault="0034468E" w:rsidP="0034468E">
      <w:pPr>
        <w:rPr>
          <w:szCs w:val="24"/>
        </w:rPr>
      </w:pPr>
    </w:p>
    <w:p w:rsidR="00D96DD1" w:rsidRDefault="009D6997" w:rsidP="0034468E">
      <w:pPr>
        <w:rPr>
          <w:szCs w:val="24"/>
        </w:rPr>
      </w:pPr>
      <w:r>
        <w:rPr>
          <w:szCs w:val="24"/>
        </w:rPr>
        <w:t>On January 30, 2012, the National Institutes of Health (NIH) issued guidance to implement the DHHS January 3, 2012 policy</w:t>
      </w:r>
      <w:r w:rsidR="00104362">
        <w:rPr>
          <w:szCs w:val="24"/>
        </w:rPr>
        <w:t xml:space="preserve">.  All components of that guidance remain in effect with the exception of the portion pertaining to conferences and meetings.  </w:t>
      </w:r>
      <w:r w:rsidR="0034468E" w:rsidRPr="00A15171">
        <w:rPr>
          <w:szCs w:val="24"/>
        </w:rPr>
        <w:t>This memorandum</w:t>
      </w:r>
      <w:r w:rsidR="00D47FBE">
        <w:rPr>
          <w:szCs w:val="24"/>
        </w:rPr>
        <w:t xml:space="preserve"> dated June </w:t>
      </w:r>
      <w:r w:rsidR="00E91DBE">
        <w:rPr>
          <w:szCs w:val="24"/>
        </w:rPr>
        <w:t>1</w:t>
      </w:r>
      <w:r w:rsidR="00495637">
        <w:rPr>
          <w:szCs w:val="24"/>
        </w:rPr>
        <w:t>5</w:t>
      </w:r>
      <w:r w:rsidR="00D47FBE">
        <w:rPr>
          <w:szCs w:val="24"/>
        </w:rPr>
        <w:t>, 2012 tr</w:t>
      </w:r>
      <w:r w:rsidR="0034468E" w:rsidRPr="00A15171">
        <w:rPr>
          <w:szCs w:val="24"/>
        </w:rPr>
        <w:t xml:space="preserve">ansmits NIH’s guidance and procedures regarding implementation of the new </w:t>
      </w:r>
      <w:r w:rsidR="00104362">
        <w:rPr>
          <w:szCs w:val="24"/>
        </w:rPr>
        <w:t xml:space="preserve">DHHS </w:t>
      </w:r>
      <w:r w:rsidR="0034468E" w:rsidRPr="00A15171">
        <w:rPr>
          <w:szCs w:val="24"/>
        </w:rPr>
        <w:t>polic</w:t>
      </w:r>
      <w:r w:rsidR="00104362">
        <w:rPr>
          <w:szCs w:val="24"/>
        </w:rPr>
        <w:t>y</w:t>
      </w:r>
      <w:r w:rsidR="0034468E" w:rsidRPr="00A15171">
        <w:rPr>
          <w:szCs w:val="24"/>
        </w:rPr>
        <w:t xml:space="preserve"> as it applies to </w:t>
      </w:r>
      <w:r w:rsidR="00D47FBE">
        <w:rPr>
          <w:szCs w:val="24"/>
        </w:rPr>
        <w:t>c</w:t>
      </w:r>
      <w:r w:rsidR="0034468E" w:rsidRPr="00A15171">
        <w:rPr>
          <w:szCs w:val="24"/>
        </w:rPr>
        <w:t xml:space="preserve">onferences and </w:t>
      </w:r>
      <w:r w:rsidR="00D47FBE">
        <w:rPr>
          <w:szCs w:val="24"/>
        </w:rPr>
        <w:t>m</w:t>
      </w:r>
      <w:r w:rsidR="0034468E" w:rsidRPr="00A15171">
        <w:rPr>
          <w:szCs w:val="24"/>
        </w:rPr>
        <w:t>eetings.</w:t>
      </w:r>
      <w:r w:rsidR="00F90230">
        <w:rPr>
          <w:szCs w:val="24"/>
        </w:rPr>
        <w:t xml:space="preserve"> </w:t>
      </w:r>
      <w:r w:rsidR="00D96DD1">
        <w:rPr>
          <w:szCs w:val="24"/>
        </w:rPr>
        <w:t xml:space="preserve">With the issuance of </w:t>
      </w:r>
      <w:r w:rsidR="007C1C3B">
        <w:rPr>
          <w:szCs w:val="24"/>
        </w:rPr>
        <w:t>this guidance</w:t>
      </w:r>
      <w:r w:rsidR="00D96DD1">
        <w:rPr>
          <w:szCs w:val="24"/>
        </w:rPr>
        <w:t>,</w:t>
      </w:r>
      <w:r w:rsidR="00736AEF">
        <w:rPr>
          <w:szCs w:val="24"/>
        </w:rPr>
        <w:t xml:space="preserve"> the conference spending moratorium issued May 21, 2012</w:t>
      </w:r>
      <w:r w:rsidR="00D96DD1">
        <w:rPr>
          <w:szCs w:val="24"/>
        </w:rPr>
        <w:t xml:space="preserve"> is rescinded</w:t>
      </w:r>
      <w:r w:rsidR="00736AEF">
        <w:rPr>
          <w:szCs w:val="24"/>
        </w:rPr>
        <w:t>.</w:t>
      </w:r>
    </w:p>
    <w:p w:rsidR="00D96DD1" w:rsidRDefault="00D96DD1" w:rsidP="0034468E">
      <w:pPr>
        <w:rPr>
          <w:szCs w:val="24"/>
        </w:rPr>
      </w:pPr>
    </w:p>
    <w:p w:rsidR="0034468E" w:rsidRPr="00A15171" w:rsidRDefault="0034468E" w:rsidP="0034468E">
      <w:pPr>
        <w:rPr>
          <w:szCs w:val="24"/>
        </w:rPr>
      </w:pPr>
      <w:r>
        <w:rPr>
          <w:szCs w:val="24"/>
        </w:rPr>
        <w:t>Th</w:t>
      </w:r>
      <w:r w:rsidR="00D47FBE">
        <w:rPr>
          <w:szCs w:val="24"/>
        </w:rPr>
        <w:t>e January 30</w:t>
      </w:r>
      <w:r w:rsidR="004D6E40">
        <w:rPr>
          <w:szCs w:val="24"/>
        </w:rPr>
        <w:t>, 2012</w:t>
      </w:r>
      <w:r w:rsidR="00D47FBE">
        <w:rPr>
          <w:szCs w:val="24"/>
        </w:rPr>
        <w:t xml:space="preserve"> NIH guidance and the current June</w:t>
      </w:r>
      <w:r w:rsidR="00495637">
        <w:rPr>
          <w:szCs w:val="24"/>
        </w:rPr>
        <w:t xml:space="preserve"> 15</w:t>
      </w:r>
      <w:r w:rsidR="004D6E40">
        <w:rPr>
          <w:szCs w:val="24"/>
        </w:rPr>
        <w:t>, 2012</w:t>
      </w:r>
      <w:r w:rsidR="00D47FBE">
        <w:rPr>
          <w:szCs w:val="24"/>
        </w:rPr>
        <w:t xml:space="preserve"> guidance </w:t>
      </w:r>
      <w:r w:rsidRPr="00A15171">
        <w:rPr>
          <w:szCs w:val="24"/>
        </w:rPr>
        <w:t xml:space="preserve">take precedence over any conflicting information stated in the NIH Manual Chapters below.  These manual chapters will be modified to </w:t>
      </w:r>
      <w:r>
        <w:rPr>
          <w:szCs w:val="24"/>
        </w:rPr>
        <w:t xml:space="preserve">reflect changes in </w:t>
      </w:r>
      <w:r w:rsidR="00D47FBE">
        <w:rPr>
          <w:szCs w:val="24"/>
        </w:rPr>
        <w:t>Departmental policy:</w:t>
      </w:r>
      <w:r w:rsidRPr="00A15171">
        <w:rPr>
          <w:szCs w:val="24"/>
        </w:rPr>
        <w:t> </w:t>
      </w:r>
    </w:p>
    <w:p w:rsidR="0034468E" w:rsidRPr="00A15171" w:rsidRDefault="0034468E" w:rsidP="0034468E">
      <w:pPr>
        <w:rPr>
          <w:szCs w:val="24"/>
        </w:rPr>
      </w:pPr>
    </w:p>
    <w:p w:rsidR="00DC4F02" w:rsidRDefault="00F66BE6" w:rsidP="00DC4F02">
      <w:pPr>
        <w:pStyle w:val="ListParagraph"/>
        <w:numPr>
          <w:ilvl w:val="0"/>
          <w:numId w:val="18"/>
        </w:numPr>
        <w:rPr>
          <w:szCs w:val="24"/>
        </w:rPr>
      </w:pPr>
      <w:hyperlink r:id="rId14" w:history="1">
        <w:r w:rsidR="0034468E" w:rsidRPr="00636513">
          <w:rPr>
            <w:rStyle w:val="Hyperlink"/>
            <w:bCs/>
            <w:szCs w:val="24"/>
          </w:rPr>
          <w:t>6308-Acquisition of Printi</w:t>
        </w:r>
        <w:r w:rsidR="0034468E" w:rsidRPr="00636513">
          <w:rPr>
            <w:rStyle w:val="Hyperlink"/>
            <w:bCs/>
            <w:szCs w:val="24"/>
          </w:rPr>
          <w:t>n</w:t>
        </w:r>
        <w:r w:rsidR="0034468E" w:rsidRPr="00636513">
          <w:rPr>
            <w:rStyle w:val="Hyperlink"/>
            <w:bCs/>
            <w:szCs w:val="24"/>
          </w:rPr>
          <w:t>g Requirements at the NIH</w:t>
        </w:r>
      </w:hyperlink>
      <w:r w:rsidR="0034468E" w:rsidRPr="007D1EC8">
        <w:rPr>
          <w:szCs w:val="24"/>
        </w:rPr>
        <w:t xml:space="preserve"> (Printing)  </w:t>
      </w:r>
    </w:p>
    <w:p w:rsidR="00DC4F02" w:rsidRDefault="00F66BE6" w:rsidP="00DC4F02">
      <w:pPr>
        <w:pStyle w:val="ListParagraph"/>
        <w:numPr>
          <w:ilvl w:val="0"/>
          <w:numId w:val="18"/>
        </w:numPr>
        <w:rPr>
          <w:bCs/>
          <w:szCs w:val="24"/>
        </w:rPr>
      </w:pPr>
      <w:hyperlink r:id="rId15" w:history="1">
        <w:r w:rsidR="0034468E" w:rsidRPr="00636513">
          <w:rPr>
            <w:rStyle w:val="Hyperlink"/>
            <w:bCs/>
            <w:szCs w:val="24"/>
          </w:rPr>
          <w:t>1160-1 Entertai</w:t>
        </w:r>
        <w:r w:rsidR="0034468E" w:rsidRPr="00636513">
          <w:rPr>
            <w:rStyle w:val="Hyperlink"/>
            <w:bCs/>
            <w:szCs w:val="24"/>
          </w:rPr>
          <w:t>n</w:t>
        </w:r>
        <w:r w:rsidR="0034468E" w:rsidRPr="00636513">
          <w:rPr>
            <w:rStyle w:val="Hyperlink"/>
            <w:bCs/>
            <w:szCs w:val="24"/>
          </w:rPr>
          <w:t>ment</w:t>
        </w:r>
      </w:hyperlink>
      <w:r w:rsidR="0034468E" w:rsidRPr="007D1EC8">
        <w:rPr>
          <w:bCs/>
          <w:szCs w:val="24"/>
        </w:rPr>
        <w:t xml:space="preserve"> </w:t>
      </w:r>
      <w:r w:rsidR="0034468E" w:rsidRPr="007D1EC8">
        <w:rPr>
          <w:szCs w:val="24"/>
        </w:rPr>
        <w:t xml:space="preserve">(Food) </w:t>
      </w:r>
      <w:r w:rsidR="00636513">
        <w:rPr>
          <w:szCs w:val="24"/>
        </w:rPr>
        <w:t>(Suspended—to be reissued)</w:t>
      </w:r>
    </w:p>
    <w:p w:rsidR="00DC4F02" w:rsidRDefault="00F66BE6" w:rsidP="00DC4F02">
      <w:pPr>
        <w:pStyle w:val="ListParagraph"/>
        <w:numPr>
          <w:ilvl w:val="0"/>
          <w:numId w:val="18"/>
        </w:numPr>
        <w:rPr>
          <w:szCs w:val="24"/>
        </w:rPr>
      </w:pPr>
      <w:hyperlink r:id="rId16" w:history="1">
        <w:r w:rsidR="0034468E" w:rsidRPr="00636513">
          <w:rPr>
            <w:rStyle w:val="Hyperlink"/>
            <w:bCs/>
            <w:szCs w:val="24"/>
          </w:rPr>
          <w:t>26101-17-1</w:t>
        </w:r>
        <w:r w:rsidR="0034468E" w:rsidRPr="00636513">
          <w:rPr>
            <w:rStyle w:val="Hyperlink"/>
            <w:bCs/>
            <w:szCs w:val="24"/>
          </w:rPr>
          <w:t xml:space="preserve"> </w:t>
        </w:r>
        <w:r w:rsidR="0034468E" w:rsidRPr="00636513">
          <w:rPr>
            <w:rStyle w:val="Hyperlink"/>
            <w:bCs/>
            <w:szCs w:val="24"/>
          </w:rPr>
          <w:t>Acquisition of Temporary Commercial Conference Space</w:t>
        </w:r>
      </w:hyperlink>
      <w:r w:rsidR="0034468E" w:rsidRPr="007D1EC8">
        <w:rPr>
          <w:bCs/>
          <w:szCs w:val="24"/>
        </w:rPr>
        <w:t xml:space="preserve"> (</w:t>
      </w:r>
      <w:r w:rsidR="0034468E" w:rsidRPr="007D1EC8">
        <w:rPr>
          <w:szCs w:val="24"/>
        </w:rPr>
        <w:t xml:space="preserve">Conference/Meeting Space) </w:t>
      </w:r>
    </w:p>
    <w:p w:rsidR="00DC4F02" w:rsidRDefault="00F66BE6" w:rsidP="00DC4F02">
      <w:pPr>
        <w:pStyle w:val="ListParagraph"/>
        <w:numPr>
          <w:ilvl w:val="0"/>
          <w:numId w:val="18"/>
        </w:numPr>
        <w:rPr>
          <w:szCs w:val="24"/>
        </w:rPr>
      </w:pPr>
      <w:hyperlink r:id="rId17" w:history="1">
        <w:r w:rsidR="0034468E" w:rsidRPr="00636513">
          <w:rPr>
            <w:rStyle w:val="Hyperlink"/>
            <w:bCs/>
            <w:szCs w:val="24"/>
          </w:rPr>
          <w:t>1135-Gifts Adm</w:t>
        </w:r>
        <w:r w:rsidR="0034468E" w:rsidRPr="00636513">
          <w:rPr>
            <w:rStyle w:val="Hyperlink"/>
            <w:bCs/>
            <w:szCs w:val="24"/>
          </w:rPr>
          <w:t>i</w:t>
        </w:r>
        <w:r w:rsidR="0034468E" w:rsidRPr="00636513">
          <w:rPr>
            <w:rStyle w:val="Hyperlink"/>
            <w:bCs/>
            <w:szCs w:val="24"/>
          </w:rPr>
          <w:t>nistration</w:t>
        </w:r>
      </w:hyperlink>
      <w:r w:rsidR="0034468E" w:rsidRPr="00E91DBE">
        <w:rPr>
          <w:szCs w:val="24"/>
        </w:rPr>
        <w:t xml:space="preserve"> (Gift Funds) </w:t>
      </w:r>
    </w:p>
    <w:p w:rsidR="00DC4F02" w:rsidRDefault="00F66BE6" w:rsidP="00DC4F02">
      <w:pPr>
        <w:pStyle w:val="ListParagraph"/>
        <w:numPr>
          <w:ilvl w:val="0"/>
          <w:numId w:val="18"/>
        </w:numPr>
        <w:rPr>
          <w:szCs w:val="24"/>
        </w:rPr>
      </w:pPr>
      <w:hyperlink r:id="rId18" w:history="1">
        <w:r w:rsidR="0034468E" w:rsidRPr="00857FB2">
          <w:rPr>
            <w:rStyle w:val="Hyperlink"/>
            <w:bCs/>
            <w:szCs w:val="24"/>
          </w:rPr>
          <w:t>6031-Conf</w:t>
        </w:r>
        <w:r w:rsidR="0034468E" w:rsidRPr="00857FB2">
          <w:rPr>
            <w:rStyle w:val="Hyperlink"/>
            <w:bCs/>
            <w:szCs w:val="24"/>
          </w:rPr>
          <w:t>e</w:t>
        </w:r>
        <w:r w:rsidR="0034468E" w:rsidRPr="00857FB2">
          <w:rPr>
            <w:rStyle w:val="Hyperlink"/>
            <w:bCs/>
            <w:szCs w:val="24"/>
          </w:rPr>
          <w:t>rence Support/Collection and Retention of Registration Fees under Contract</w:t>
        </w:r>
      </w:hyperlink>
      <w:r w:rsidR="0034468E" w:rsidRPr="00E65E3E">
        <w:rPr>
          <w:bCs/>
          <w:szCs w:val="24"/>
        </w:rPr>
        <w:t xml:space="preserve"> (</w:t>
      </w:r>
      <w:r w:rsidR="0034468E" w:rsidRPr="00E65E3E">
        <w:rPr>
          <w:szCs w:val="24"/>
        </w:rPr>
        <w:t>Conference)</w:t>
      </w:r>
    </w:p>
    <w:p w:rsidR="0034468E" w:rsidRPr="00A15171" w:rsidRDefault="0034468E" w:rsidP="0034468E">
      <w:pPr>
        <w:rPr>
          <w:szCs w:val="24"/>
        </w:rPr>
      </w:pPr>
    </w:p>
    <w:p w:rsidR="00DC4F02" w:rsidRDefault="007D1EC8" w:rsidP="00DC4F02">
      <w:pPr>
        <w:rPr>
          <w:szCs w:val="24"/>
        </w:rPr>
      </w:pPr>
      <w:r w:rsidRPr="007D1EC8">
        <w:rPr>
          <w:szCs w:val="24"/>
        </w:rPr>
        <w:t>Q</w:t>
      </w:r>
      <w:r w:rsidR="0034468E" w:rsidRPr="007D1EC8">
        <w:rPr>
          <w:szCs w:val="24"/>
        </w:rPr>
        <w:t xml:space="preserve">uestions regarding Conferences and Meeting Space acquisitions, Promotional Items, and Printing should be directed to </w:t>
      </w:r>
      <w:hyperlink r:id="rId19" w:history="1">
        <w:r w:rsidR="0034468E" w:rsidRPr="007D1EC8">
          <w:rPr>
            <w:rStyle w:val="Hyperlink"/>
            <w:rFonts w:eastAsia="Arial Unicode MS"/>
          </w:rPr>
          <w:t>EfficientSpendingPolicy@NIH.gov</w:t>
        </w:r>
      </w:hyperlink>
      <w:r w:rsidR="0034468E" w:rsidRPr="007D1EC8">
        <w:rPr>
          <w:szCs w:val="24"/>
        </w:rPr>
        <w:t>.</w:t>
      </w:r>
    </w:p>
    <w:p w:rsidR="0034468E" w:rsidRPr="00A15171" w:rsidRDefault="0034468E" w:rsidP="0034468E">
      <w:pPr>
        <w:pStyle w:val="ListParagraph"/>
        <w:rPr>
          <w:szCs w:val="24"/>
        </w:rPr>
      </w:pPr>
    </w:p>
    <w:p w:rsidR="00DC4F02" w:rsidRDefault="0034468E" w:rsidP="00DC4F02">
      <w:pPr>
        <w:rPr>
          <w:szCs w:val="24"/>
        </w:rPr>
      </w:pPr>
      <w:r w:rsidRPr="007D1EC8">
        <w:rPr>
          <w:szCs w:val="24"/>
        </w:rPr>
        <w:t xml:space="preserve">Questions regarding Food and Beverages </w:t>
      </w:r>
      <w:r w:rsidR="00067631" w:rsidRPr="007D1EC8">
        <w:rPr>
          <w:szCs w:val="24"/>
        </w:rPr>
        <w:t>and Attendance at Conferences</w:t>
      </w:r>
      <w:r w:rsidR="009E6242" w:rsidRPr="007D1EC8">
        <w:rPr>
          <w:szCs w:val="24"/>
        </w:rPr>
        <w:t xml:space="preserve"> </w:t>
      </w:r>
      <w:r w:rsidRPr="007D1EC8">
        <w:rPr>
          <w:szCs w:val="24"/>
        </w:rPr>
        <w:t xml:space="preserve">should be directed to Ken Stith at </w:t>
      </w:r>
      <w:hyperlink r:id="rId20" w:history="1">
        <w:r w:rsidRPr="007D1EC8">
          <w:rPr>
            <w:rStyle w:val="Hyperlink"/>
            <w:rFonts w:eastAsia="Arial Unicode MS"/>
          </w:rPr>
          <w:t>Kenneth.Stith@nih.gov</w:t>
        </w:r>
      </w:hyperlink>
      <w:r w:rsidR="008A0BD3">
        <w:t>.</w:t>
      </w:r>
      <w:r w:rsidRPr="007D1EC8">
        <w:rPr>
          <w:szCs w:val="24"/>
        </w:rPr>
        <w:t xml:space="preserve"> </w:t>
      </w:r>
    </w:p>
    <w:p w:rsidR="0034468E" w:rsidRPr="00A15171" w:rsidRDefault="0034468E" w:rsidP="0034468E">
      <w:pPr>
        <w:pStyle w:val="ListParagraph"/>
        <w:rPr>
          <w:szCs w:val="24"/>
        </w:rPr>
      </w:pPr>
    </w:p>
    <w:p w:rsidR="0034468E" w:rsidRPr="00A15171" w:rsidRDefault="0034468E" w:rsidP="00A6631D">
      <w:pPr>
        <w:spacing w:line="720" w:lineRule="auto"/>
        <w:rPr>
          <w:szCs w:val="24"/>
        </w:rPr>
      </w:pPr>
      <w:r w:rsidRPr="007D1EC8">
        <w:rPr>
          <w:szCs w:val="24"/>
        </w:rPr>
        <w:t xml:space="preserve">Questions regarding grants should be directed to Michelle G. Bulls, </w:t>
      </w:r>
      <w:hyperlink r:id="rId21" w:history="1">
        <w:r w:rsidRPr="007D1EC8">
          <w:rPr>
            <w:rStyle w:val="Hyperlink"/>
            <w:rFonts w:eastAsia="Arial Unicode MS"/>
          </w:rPr>
          <w:t>bullsmg@mail.nih.gov</w:t>
        </w:r>
      </w:hyperlink>
      <w:r w:rsidRPr="007D1EC8">
        <w:rPr>
          <w:szCs w:val="24"/>
        </w:rPr>
        <w:t>.</w:t>
      </w:r>
      <w:r w:rsidR="00A6631D" w:rsidRPr="00A15171">
        <w:rPr>
          <w:szCs w:val="24"/>
        </w:rPr>
        <w:t xml:space="preserve"> </w:t>
      </w:r>
    </w:p>
    <w:p w:rsidR="0034468E" w:rsidRPr="00A15171" w:rsidRDefault="0034468E" w:rsidP="00A6631D">
      <w:pPr>
        <w:pStyle w:val="Header"/>
        <w:rPr>
          <w:szCs w:val="24"/>
        </w:rPr>
      </w:pPr>
      <w:r w:rsidRPr="00A15171">
        <w:rPr>
          <w:szCs w:val="24"/>
        </w:rPr>
        <w:t>/s/</w:t>
      </w:r>
      <w:r w:rsidRPr="00A15171">
        <w:rPr>
          <w:szCs w:val="24"/>
        </w:rPr>
        <w:tab/>
        <w:t>/s/</w:t>
      </w:r>
    </w:p>
    <w:p w:rsidR="0034468E" w:rsidRPr="00A15171" w:rsidRDefault="0034468E" w:rsidP="0034468E">
      <w:pPr>
        <w:pStyle w:val="Header"/>
        <w:rPr>
          <w:szCs w:val="24"/>
        </w:rPr>
      </w:pPr>
      <w:r w:rsidRPr="00A15171">
        <w:rPr>
          <w:szCs w:val="24"/>
        </w:rPr>
        <w:t>__________________</w:t>
      </w:r>
      <w:r w:rsidRPr="00A15171">
        <w:rPr>
          <w:szCs w:val="24"/>
        </w:rPr>
        <w:tab/>
        <w:t>___________________</w:t>
      </w:r>
    </w:p>
    <w:p w:rsidR="0034468E" w:rsidRPr="00A15171" w:rsidRDefault="0034468E" w:rsidP="0034468E">
      <w:pPr>
        <w:pStyle w:val="Header"/>
        <w:rPr>
          <w:szCs w:val="24"/>
        </w:rPr>
      </w:pPr>
      <w:r w:rsidRPr="00A15171">
        <w:rPr>
          <w:szCs w:val="24"/>
        </w:rPr>
        <w:t>Colleen Barros</w:t>
      </w:r>
      <w:r w:rsidRPr="00A15171">
        <w:rPr>
          <w:szCs w:val="24"/>
        </w:rPr>
        <w:tab/>
        <w:t>Sally J. Rockey, Ph.D</w:t>
      </w:r>
    </w:p>
    <w:p w:rsidR="001D6953" w:rsidRDefault="001D6953" w:rsidP="00A6631D">
      <w:pPr>
        <w:jc w:val="center"/>
        <w:sectPr w:rsidR="001D6953" w:rsidSect="001D6953">
          <w:footerReference w:type="default" r:id="rId22"/>
          <w:pgSz w:w="12240" w:h="15840"/>
          <w:pgMar w:top="1440" w:right="1440" w:bottom="1440" w:left="1440" w:header="720" w:footer="720" w:gutter="0"/>
          <w:pgNumType w:fmt="lowerRoman"/>
          <w:cols w:space="720"/>
          <w:docGrid w:linePitch="360"/>
        </w:sectPr>
      </w:pPr>
    </w:p>
    <w:p w:rsidR="00DC4F02" w:rsidRPr="00DE359A" w:rsidRDefault="00481CD5" w:rsidP="008E79CC">
      <w:pPr>
        <w:pStyle w:val="Title"/>
        <w:rPr>
          <w:rStyle w:val="Strong"/>
        </w:rPr>
      </w:pPr>
      <w:r w:rsidRPr="00DE359A">
        <w:rPr>
          <w:rStyle w:val="Strong"/>
        </w:rPr>
        <w:lastRenderedPageBreak/>
        <w:t>NIH Implement</w:t>
      </w:r>
      <w:r w:rsidR="001D47A7" w:rsidRPr="00DE359A">
        <w:rPr>
          <w:rStyle w:val="Strong"/>
        </w:rPr>
        <w:t>ation</w:t>
      </w:r>
      <w:r w:rsidRPr="00DE359A">
        <w:rPr>
          <w:rStyle w:val="Strong"/>
        </w:rPr>
        <w:t xml:space="preserve"> Guidance for</w:t>
      </w:r>
    </w:p>
    <w:p w:rsidR="00DC4F02" w:rsidRPr="00DE359A" w:rsidRDefault="00481CD5" w:rsidP="008E79CC">
      <w:pPr>
        <w:pStyle w:val="Title"/>
        <w:rPr>
          <w:rStyle w:val="Strong"/>
        </w:rPr>
      </w:pPr>
      <w:r w:rsidRPr="00DE359A">
        <w:rPr>
          <w:rStyle w:val="Strong"/>
        </w:rPr>
        <w:t>The Department of Health and Human Services (DHHS) Policy</w:t>
      </w:r>
    </w:p>
    <w:p w:rsidR="00DC4F02" w:rsidRPr="00DE359A" w:rsidRDefault="00481CD5" w:rsidP="008E79CC">
      <w:pPr>
        <w:pStyle w:val="Title"/>
        <w:rPr>
          <w:rStyle w:val="Strong"/>
        </w:rPr>
      </w:pPr>
      <w:r w:rsidRPr="00DE359A">
        <w:rPr>
          <w:rStyle w:val="Strong"/>
        </w:rPr>
        <w:t>on Use of Appropriated Funds for Conferences and Meetings</w:t>
      </w:r>
    </w:p>
    <w:p w:rsidR="00481CD5" w:rsidRDefault="00481CD5" w:rsidP="00A6631D">
      <w:pPr>
        <w:jc w:val="center"/>
      </w:pPr>
    </w:p>
    <w:p w:rsidR="00634B5F" w:rsidRDefault="003454C4" w:rsidP="00634B5F">
      <w:r>
        <w:rPr>
          <w:szCs w:val="24"/>
        </w:rPr>
        <w:t xml:space="preserve">In </w:t>
      </w:r>
      <w:r w:rsidR="00481CD5">
        <w:rPr>
          <w:szCs w:val="24"/>
        </w:rPr>
        <w:t>the June 7, 2012 D</w:t>
      </w:r>
      <w:r w:rsidR="001C07D2" w:rsidRPr="001C07D2">
        <w:rPr>
          <w:szCs w:val="24"/>
        </w:rPr>
        <w:t xml:space="preserve">HHS Policy on </w:t>
      </w:r>
      <w:r w:rsidR="00481CD5">
        <w:rPr>
          <w:szCs w:val="24"/>
        </w:rPr>
        <w:t>Use of</w:t>
      </w:r>
      <w:r w:rsidR="001C07D2" w:rsidRPr="001C07D2">
        <w:rPr>
          <w:szCs w:val="24"/>
        </w:rPr>
        <w:t xml:space="preserve"> Appropriated Funds for Conferences</w:t>
      </w:r>
      <w:r w:rsidR="00481CD5">
        <w:rPr>
          <w:szCs w:val="24"/>
        </w:rPr>
        <w:t xml:space="preserve"> and Meetings</w:t>
      </w:r>
      <w:r>
        <w:rPr>
          <w:szCs w:val="24"/>
        </w:rPr>
        <w:t>, a requirement exists at Section 1.6 for OPDIVs to issue implementation guidance</w:t>
      </w:r>
      <w:r w:rsidR="00D63415">
        <w:rPr>
          <w:szCs w:val="24"/>
        </w:rPr>
        <w:t xml:space="preserve">. </w:t>
      </w:r>
      <w:r>
        <w:rPr>
          <w:szCs w:val="24"/>
        </w:rPr>
        <w:t xml:space="preserve">This document responds to that requirement. </w:t>
      </w:r>
      <w:r w:rsidR="00D96DD1">
        <w:rPr>
          <w:szCs w:val="24"/>
        </w:rPr>
        <w:t xml:space="preserve">The </w:t>
      </w:r>
      <w:r w:rsidR="00736AEF">
        <w:rPr>
          <w:szCs w:val="24"/>
        </w:rPr>
        <w:t>D</w:t>
      </w:r>
      <w:r w:rsidR="00634B5F">
        <w:rPr>
          <w:szCs w:val="24"/>
        </w:rPr>
        <w:t xml:space="preserve">HHS </w:t>
      </w:r>
      <w:r w:rsidR="00634B5F" w:rsidRPr="00046ABD">
        <w:rPr>
          <w:szCs w:val="24"/>
        </w:rPr>
        <w:t>policy</w:t>
      </w:r>
      <w:r w:rsidR="00634B5F">
        <w:rPr>
          <w:szCs w:val="24"/>
        </w:rPr>
        <w:t xml:space="preserve"> applies to </w:t>
      </w:r>
      <w:r w:rsidR="00634B5F" w:rsidRPr="00DE359A">
        <w:rPr>
          <w:rStyle w:val="Emphasis"/>
        </w:rPr>
        <w:t>all funds appropriated by Congress</w:t>
      </w:r>
      <w:r w:rsidR="00634B5F" w:rsidRPr="00B5285D">
        <w:t xml:space="preserve"> (</w:t>
      </w:r>
      <w:r w:rsidR="00634B5F">
        <w:t xml:space="preserve">obligated after January 3, 2012), </w:t>
      </w:r>
      <w:r w:rsidR="00634B5F" w:rsidRPr="00B5285D">
        <w:t xml:space="preserve">whether from an annual appropriation, multi-year appropriation, appropriated user fee, mandatory appropriation, gift funds, </w:t>
      </w:r>
      <w:r w:rsidR="00751E1B">
        <w:t>royalty funds</w:t>
      </w:r>
      <w:r w:rsidR="00751E1B">
        <w:rPr>
          <w:rStyle w:val="FootnoteReference"/>
        </w:rPr>
        <w:footnoteReference w:id="1"/>
      </w:r>
      <w:r w:rsidR="00751E1B">
        <w:t xml:space="preserve">, </w:t>
      </w:r>
      <w:r w:rsidR="00634B5F" w:rsidRPr="00B5285D">
        <w:t xml:space="preserve">or reimbursements </w:t>
      </w:r>
      <w:r w:rsidR="00634B5F">
        <w:t>from such appropriations, etc.</w:t>
      </w:r>
    </w:p>
    <w:p w:rsidR="00634B5F" w:rsidRDefault="00634B5F" w:rsidP="0018194D"/>
    <w:p w:rsidR="00FD5C2B" w:rsidRDefault="001C07D2" w:rsidP="0018194D">
      <w:r>
        <w:t>This new NIH guidance and approval process</w:t>
      </w:r>
      <w:r w:rsidR="0073690E">
        <w:t xml:space="preserve"> includes </w:t>
      </w:r>
      <w:r w:rsidR="00875C19">
        <w:t>three</w:t>
      </w:r>
      <w:r w:rsidR="0073690E">
        <w:t xml:space="preserve"> approval forms: </w:t>
      </w:r>
    </w:p>
    <w:p w:rsidR="00634B5F" w:rsidRDefault="00634B5F" w:rsidP="0018194D"/>
    <w:p w:rsidR="00FD5C2B" w:rsidRDefault="00FD5C2B" w:rsidP="007A46A7">
      <w:pPr>
        <w:ind w:firstLine="720"/>
      </w:pPr>
      <w:r>
        <w:t>Attachment A: NIH Conference / Meeting Approval Form</w:t>
      </w:r>
    </w:p>
    <w:p w:rsidR="00240247" w:rsidRDefault="00240247" w:rsidP="0018194D"/>
    <w:p w:rsidR="00FD5C2B" w:rsidRDefault="00FD5C2B" w:rsidP="007A46A7">
      <w:pPr>
        <w:ind w:firstLine="720"/>
      </w:pPr>
      <w:r>
        <w:t>Attachment B: NIH Conference Request for Waiver</w:t>
      </w:r>
    </w:p>
    <w:p w:rsidR="00240247" w:rsidRDefault="00240247" w:rsidP="0018194D"/>
    <w:p w:rsidR="00FD5C2B" w:rsidRDefault="00FD5C2B" w:rsidP="007A46A7">
      <w:pPr>
        <w:ind w:firstLine="720"/>
      </w:pPr>
      <w:r>
        <w:t>Attachment C: NIH Conference Attendance Request and Approval</w:t>
      </w:r>
    </w:p>
    <w:p w:rsidR="00FB7C2D" w:rsidRDefault="00FB7C2D" w:rsidP="0018194D"/>
    <w:p w:rsidR="00FB7C2D" w:rsidRDefault="00FB7C2D" w:rsidP="0018194D">
      <w:r w:rsidRPr="00A15171">
        <w:t xml:space="preserve">The NIH Conference Request and Approval Form (Attachment A) shall be used to collect </w:t>
      </w:r>
      <w:r>
        <w:t xml:space="preserve">and transmit </w:t>
      </w:r>
      <w:r w:rsidRPr="00A15171">
        <w:t xml:space="preserve">all information to the approving official.  The request must be submitted and approved in advance of issuing any funding opportunity </w:t>
      </w:r>
      <w:r w:rsidR="00B51A56">
        <w:t xml:space="preserve">announcement or solicitation.  </w:t>
      </w:r>
      <w:r w:rsidRPr="00A15171">
        <w:t>The approved NIH Conference Request and Approval Form must be included in the award file.</w:t>
      </w:r>
    </w:p>
    <w:p w:rsidR="00FB7C2D" w:rsidRDefault="00FB7C2D" w:rsidP="00FB7C2D">
      <w:pPr>
        <w:rPr>
          <w:lang w:eastAsia="en-PH"/>
        </w:rPr>
      </w:pPr>
    </w:p>
    <w:p w:rsidR="00347ADB" w:rsidRDefault="00DE4E88" w:rsidP="0018194D">
      <w:pPr>
        <w:rPr>
          <w:lang w:eastAsia="en-PH"/>
        </w:rPr>
      </w:pPr>
      <w:r>
        <w:rPr>
          <w:szCs w:val="24"/>
        </w:rPr>
        <w:t xml:space="preserve">NIH Conference Request for Waiver </w:t>
      </w:r>
      <w:r w:rsidR="00D41039">
        <w:rPr>
          <w:szCs w:val="24"/>
        </w:rPr>
        <w:t>Form</w:t>
      </w:r>
      <w:r w:rsidR="00E91DBE">
        <w:rPr>
          <w:szCs w:val="24"/>
        </w:rPr>
        <w:t xml:space="preserve"> </w:t>
      </w:r>
      <w:r>
        <w:rPr>
          <w:szCs w:val="24"/>
        </w:rPr>
        <w:t xml:space="preserve">(Attachment B) is used to request a waiver </w:t>
      </w:r>
      <w:r w:rsidR="005847BC">
        <w:rPr>
          <w:lang w:eastAsia="en-PH"/>
        </w:rPr>
        <w:t>for a conference expected to exceed $500,000 (net)</w:t>
      </w:r>
      <w:r>
        <w:rPr>
          <w:lang w:eastAsia="en-PH"/>
        </w:rPr>
        <w:t>.  The</w:t>
      </w:r>
      <w:r w:rsidR="005847BC">
        <w:rPr>
          <w:lang w:eastAsia="en-PH"/>
        </w:rPr>
        <w:t xml:space="preserve"> NIH Conference Request for Waiver (Attachment B) must be submitted with the NIH Conference Request and Approval Form (Attachment A)</w:t>
      </w:r>
      <w:r w:rsidR="00D96DD1">
        <w:rPr>
          <w:lang w:eastAsia="en-PH"/>
        </w:rPr>
        <w:t xml:space="preserve"> at this threshold level</w:t>
      </w:r>
      <w:r w:rsidR="005847BC">
        <w:rPr>
          <w:lang w:eastAsia="en-PH"/>
        </w:rPr>
        <w:t>.</w:t>
      </w:r>
    </w:p>
    <w:p w:rsidR="00FB7C2D" w:rsidRDefault="00FB7C2D" w:rsidP="00FB7C2D">
      <w:pPr>
        <w:rPr>
          <w:lang w:eastAsia="en-PH"/>
        </w:rPr>
      </w:pPr>
    </w:p>
    <w:p w:rsidR="00240247" w:rsidRDefault="00FB7C2D" w:rsidP="00FB7C2D">
      <w:pPr>
        <w:rPr>
          <w:color w:val="000000"/>
          <w:szCs w:val="24"/>
        </w:rPr>
      </w:pPr>
      <w:r>
        <w:rPr>
          <w:lang w:eastAsia="en-PH"/>
        </w:rPr>
        <w:t>NIH Conference Attendance Request and Approval</w:t>
      </w:r>
      <w:r w:rsidR="00D41039">
        <w:rPr>
          <w:lang w:eastAsia="en-PH"/>
        </w:rPr>
        <w:t xml:space="preserve"> Form</w:t>
      </w:r>
      <w:r>
        <w:rPr>
          <w:lang w:eastAsia="en-PH"/>
        </w:rPr>
        <w:t xml:space="preserve"> (Attachment C) is used</w:t>
      </w:r>
      <w:r w:rsidR="008F0845">
        <w:rPr>
          <w:lang w:eastAsia="en-PH"/>
        </w:rPr>
        <w:t xml:space="preserve"> </w:t>
      </w:r>
      <w:r w:rsidR="008F0845">
        <w:rPr>
          <w:color w:val="000000"/>
          <w:szCs w:val="24"/>
        </w:rPr>
        <w:t>when there is a conference where the IC expects to send</w:t>
      </w:r>
      <w:r w:rsidR="00DE4E88">
        <w:rPr>
          <w:color w:val="000000"/>
          <w:szCs w:val="24"/>
        </w:rPr>
        <w:t xml:space="preserve"> </w:t>
      </w:r>
      <w:r w:rsidR="00634B5F">
        <w:rPr>
          <w:color w:val="000000"/>
          <w:szCs w:val="24"/>
        </w:rPr>
        <w:t xml:space="preserve">5 </w:t>
      </w:r>
      <w:r w:rsidR="00DE4E88">
        <w:rPr>
          <w:color w:val="000000"/>
          <w:szCs w:val="24"/>
        </w:rPr>
        <w:t xml:space="preserve">or more </w:t>
      </w:r>
      <w:r w:rsidR="008F0845">
        <w:rPr>
          <w:color w:val="000000"/>
          <w:szCs w:val="24"/>
        </w:rPr>
        <w:t>attendees or where expenditures are expected to be $</w:t>
      </w:r>
      <w:r w:rsidR="00634B5F">
        <w:rPr>
          <w:color w:val="000000"/>
          <w:szCs w:val="24"/>
        </w:rPr>
        <w:t>25</w:t>
      </w:r>
      <w:r w:rsidR="008F0845">
        <w:rPr>
          <w:color w:val="000000"/>
          <w:szCs w:val="24"/>
        </w:rPr>
        <w:t>,000 or more for any single conference.</w:t>
      </w:r>
    </w:p>
    <w:p w:rsidR="00240247" w:rsidRDefault="00240247">
      <w:pPr>
        <w:rPr>
          <w:color w:val="000000"/>
          <w:szCs w:val="24"/>
        </w:rPr>
      </w:pPr>
      <w:r>
        <w:rPr>
          <w:color w:val="000000"/>
          <w:szCs w:val="24"/>
        </w:rPr>
        <w:br w:type="page"/>
      </w:r>
    </w:p>
    <w:p w:rsidR="00187DCA" w:rsidRPr="00DE359A" w:rsidRDefault="00187DCA" w:rsidP="00A16EE6">
      <w:pPr>
        <w:pStyle w:val="Heading1"/>
        <w:numPr>
          <w:ilvl w:val="0"/>
          <w:numId w:val="0"/>
        </w:numPr>
        <w:spacing w:before="0" w:after="0"/>
        <w:jc w:val="center"/>
        <w:rPr>
          <w:rStyle w:val="Strong"/>
        </w:rPr>
      </w:pPr>
      <w:r w:rsidRPr="00DE359A">
        <w:rPr>
          <w:rStyle w:val="Strong"/>
        </w:rPr>
        <w:lastRenderedPageBreak/>
        <w:t>Request and Approval Requirements</w:t>
      </w:r>
    </w:p>
    <w:p w:rsidR="00187DCA" w:rsidRDefault="00187DCA" w:rsidP="00355251">
      <w:pPr>
        <w:pStyle w:val="Heading1"/>
        <w:numPr>
          <w:ilvl w:val="0"/>
          <w:numId w:val="0"/>
        </w:numPr>
        <w:spacing w:after="0"/>
        <w:jc w:val="center"/>
        <w:rPr>
          <w:rStyle w:val="Strong"/>
        </w:rPr>
      </w:pPr>
      <w:r w:rsidRPr="00DE359A">
        <w:rPr>
          <w:rStyle w:val="Strong"/>
        </w:rPr>
        <w:t>(Reference Sections 1.3 A, B, and C of the DHHS Policy)</w:t>
      </w:r>
    </w:p>
    <w:p w:rsidR="00355251" w:rsidRPr="00067631" w:rsidRDefault="00355251" w:rsidP="00355251">
      <w:pPr>
        <w:pStyle w:val="Heading1"/>
        <w:numPr>
          <w:ilvl w:val="0"/>
          <w:numId w:val="0"/>
        </w:numPr>
        <w:spacing w:after="0"/>
        <w:rPr>
          <w:sz w:val="24"/>
          <w:szCs w:val="24"/>
        </w:rPr>
      </w:pPr>
    </w:p>
    <w:p w:rsidR="009B112A" w:rsidRPr="00355251" w:rsidRDefault="009B112A" w:rsidP="0018194D">
      <w:pPr>
        <w:rPr>
          <w:u w:val="single"/>
        </w:rPr>
      </w:pPr>
      <w:r w:rsidRPr="00355251">
        <w:rPr>
          <w:u w:val="single"/>
        </w:rPr>
        <w:t xml:space="preserve">A. Conferences Sponsored, Planned or Hosted and Funded by </w:t>
      </w:r>
      <w:r w:rsidR="00875C19" w:rsidRPr="00355251">
        <w:rPr>
          <w:u w:val="single"/>
        </w:rPr>
        <w:t>D</w:t>
      </w:r>
      <w:r w:rsidRPr="00355251">
        <w:rPr>
          <w:u w:val="single"/>
        </w:rPr>
        <w:t>HHS (Excluding through Grants)</w:t>
      </w:r>
    </w:p>
    <w:p w:rsidR="009B112A" w:rsidRPr="00A15171" w:rsidRDefault="009B112A" w:rsidP="0018194D">
      <w:r w:rsidRPr="00A15171">
        <w:t xml:space="preserve">Requests for approval of conferences shall be submitted to the respective approving official 40 calendar days in advance of issuance of a solicitation or obligation of funds. </w:t>
      </w:r>
    </w:p>
    <w:p w:rsidR="009B112A" w:rsidRPr="00A15171" w:rsidRDefault="009B112A" w:rsidP="009B112A">
      <w:pPr>
        <w:pStyle w:val="Heading3"/>
        <w:numPr>
          <w:ilvl w:val="0"/>
          <w:numId w:val="0"/>
        </w:numPr>
        <w:jc w:val="left"/>
        <w:rPr>
          <w:b w:val="0"/>
        </w:rPr>
      </w:pPr>
    </w:p>
    <w:p w:rsidR="009B112A" w:rsidRPr="00A15171" w:rsidRDefault="009B112A" w:rsidP="009B112A">
      <w:pPr>
        <w:rPr>
          <w:szCs w:val="24"/>
        </w:rPr>
      </w:pPr>
      <w:r w:rsidRPr="00A15171">
        <w:rPr>
          <w:szCs w:val="24"/>
        </w:rPr>
        <w:t xml:space="preserve">When a contract includes, in addition to other requirements, a requirement to conduct a conference, the approval and reporting requirements as outlined in this </w:t>
      </w:r>
      <w:r>
        <w:rPr>
          <w:szCs w:val="24"/>
        </w:rPr>
        <w:t xml:space="preserve">guidance applies </w:t>
      </w:r>
      <w:r w:rsidRPr="00A15171">
        <w:rPr>
          <w:szCs w:val="24"/>
        </w:rPr>
        <w:t xml:space="preserve">to that part of the contract.  </w:t>
      </w:r>
    </w:p>
    <w:p w:rsidR="009B112A" w:rsidRDefault="009B112A" w:rsidP="0018194D">
      <w:r w:rsidRPr="00A15171">
        <w:t xml:space="preserve">In order to ensure consistent oversight and management across NIH and to provide accurate reporting to </w:t>
      </w:r>
      <w:r w:rsidR="00875C19">
        <w:t>D</w:t>
      </w:r>
      <w:r w:rsidRPr="00A15171">
        <w:t>HHS, the following approval thresholds apply</w:t>
      </w:r>
      <w:r w:rsidR="00875C19">
        <w:t xml:space="preserve"> </w:t>
      </w:r>
      <w:r w:rsidRPr="00A15171">
        <w:t>and may not be redelegated</w:t>
      </w:r>
      <w:r w:rsidR="00875C19">
        <w:t>:</w:t>
      </w:r>
    </w:p>
    <w:p w:rsidR="00857FB2" w:rsidRDefault="00857FB2" w:rsidP="0018194D"/>
    <w:p w:rsidR="00856054" w:rsidRDefault="00875CE8" w:rsidP="0018194D">
      <w:r w:rsidRPr="00DE359A">
        <w:t>Table A</w:t>
      </w:r>
    </w:p>
    <w:p w:rsidR="0018194D" w:rsidRPr="00DE359A" w:rsidRDefault="0018194D" w:rsidP="0018194D"/>
    <w:p w:rsidR="00875CE8" w:rsidRPr="0018194D" w:rsidRDefault="00875CE8" w:rsidP="0018194D">
      <w:pPr>
        <w:rPr>
          <w:rStyle w:val="Emphasis"/>
        </w:rPr>
      </w:pPr>
      <w:r w:rsidRPr="0018194D">
        <w:rPr>
          <w:rStyle w:val="Emphasis"/>
        </w:rPr>
        <w:t>Approval Thresholds and Approval Levels for Conferences Sponsored, Planned or Hosted and Funded by DHHS Excluding Grants and Cooperative Agreements</w:t>
      </w:r>
    </w:p>
    <w:p w:rsidR="00875CE8" w:rsidRPr="00A15171" w:rsidRDefault="00875CE8" w:rsidP="0018194D"/>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3597"/>
        <w:gridCol w:w="2878"/>
      </w:tblGrid>
      <w:tr w:rsidR="009B112A" w:rsidRPr="00DC0585" w:rsidTr="009B112A">
        <w:trPr>
          <w:trHeight w:val="323"/>
        </w:trPr>
        <w:tc>
          <w:tcPr>
            <w:tcW w:w="2001" w:type="dxa"/>
            <w:vMerge w:val="restart"/>
            <w:shd w:val="clear" w:color="auto" w:fill="auto"/>
            <w:vAlign w:val="center"/>
          </w:tcPr>
          <w:p w:rsidR="009B112A" w:rsidRDefault="009B112A" w:rsidP="009B112A">
            <w:pPr>
              <w:jc w:val="center"/>
              <w:rPr>
                <w:rFonts w:ascii="Calibri" w:hAnsi="Calibri"/>
              </w:rPr>
            </w:pPr>
            <w:r>
              <w:rPr>
                <w:rFonts w:ascii="Calibri" w:hAnsi="Calibri"/>
              </w:rPr>
              <w:t>CONFERENCES</w:t>
            </w:r>
          </w:p>
          <w:p w:rsidR="009275EC" w:rsidRDefault="009275EC" w:rsidP="00F90230">
            <w:pPr>
              <w:jc w:val="center"/>
              <w:rPr>
                <w:rFonts w:ascii="Calibri" w:hAnsi="Calibri"/>
              </w:rPr>
            </w:pPr>
          </w:p>
        </w:tc>
        <w:tc>
          <w:tcPr>
            <w:tcW w:w="3597" w:type="dxa"/>
            <w:shd w:val="clear" w:color="auto" w:fill="BFBFBF"/>
            <w:vAlign w:val="center"/>
          </w:tcPr>
          <w:p w:rsidR="009B112A" w:rsidRPr="00DC0585" w:rsidRDefault="009B112A" w:rsidP="00662ED1">
            <w:pPr>
              <w:jc w:val="center"/>
              <w:rPr>
                <w:rFonts w:ascii="Calibri" w:hAnsi="Calibri"/>
              </w:rPr>
            </w:pPr>
            <w:r w:rsidRPr="00DC0585">
              <w:rPr>
                <w:rFonts w:ascii="Calibri" w:hAnsi="Calibri"/>
              </w:rPr>
              <w:t>AMOUNT TO BE OBLIGATED</w:t>
            </w:r>
          </w:p>
        </w:tc>
        <w:tc>
          <w:tcPr>
            <w:tcW w:w="2878" w:type="dxa"/>
            <w:shd w:val="clear" w:color="auto" w:fill="BFBFBF"/>
            <w:vAlign w:val="center"/>
          </w:tcPr>
          <w:p w:rsidR="009B112A" w:rsidRPr="00DC0585" w:rsidRDefault="009B112A" w:rsidP="00662ED1">
            <w:pPr>
              <w:jc w:val="center"/>
              <w:rPr>
                <w:rFonts w:ascii="Calibri" w:hAnsi="Calibri"/>
              </w:rPr>
            </w:pPr>
            <w:r w:rsidRPr="00DC0585">
              <w:rPr>
                <w:rFonts w:ascii="Calibri" w:hAnsi="Calibri"/>
              </w:rPr>
              <w:t>APPROVAL LEVEL</w:t>
            </w:r>
          </w:p>
        </w:tc>
      </w:tr>
      <w:tr w:rsidR="009B112A" w:rsidRPr="00DC0585" w:rsidTr="009B112A">
        <w:trPr>
          <w:cantSplit/>
          <w:trHeight w:val="350"/>
        </w:trPr>
        <w:tc>
          <w:tcPr>
            <w:tcW w:w="2001" w:type="dxa"/>
            <w:vMerge/>
            <w:shd w:val="clear" w:color="auto" w:fill="auto"/>
          </w:tcPr>
          <w:p w:rsidR="009B112A" w:rsidRPr="00DC0585" w:rsidRDefault="009B112A" w:rsidP="00662ED1">
            <w:pPr>
              <w:jc w:val="center"/>
              <w:rPr>
                <w:rFonts w:ascii="Calibri" w:hAnsi="Calibri"/>
              </w:rPr>
            </w:pPr>
          </w:p>
        </w:tc>
        <w:tc>
          <w:tcPr>
            <w:tcW w:w="3597"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Under $25,000</w:t>
            </w:r>
          </w:p>
        </w:tc>
        <w:tc>
          <w:tcPr>
            <w:tcW w:w="2878"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 xml:space="preserve">IC Executive Officer </w:t>
            </w:r>
          </w:p>
        </w:tc>
      </w:tr>
      <w:tr w:rsidR="009B112A" w:rsidRPr="00DC0585" w:rsidTr="009B112A">
        <w:trPr>
          <w:cantSplit/>
          <w:trHeight w:val="413"/>
        </w:trPr>
        <w:tc>
          <w:tcPr>
            <w:tcW w:w="2001" w:type="dxa"/>
            <w:vMerge/>
            <w:shd w:val="clear" w:color="auto" w:fill="auto"/>
          </w:tcPr>
          <w:p w:rsidR="009B112A" w:rsidRPr="00DC0585" w:rsidRDefault="009B112A" w:rsidP="00662ED1">
            <w:pPr>
              <w:jc w:val="center"/>
              <w:rPr>
                <w:rFonts w:ascii="Calibri" w:hAnsi="Calibri"/>
              </w:rPr>
            </w:pPr>
          </w:p>
        </w:tc>
        <w:tc>
          <w:tcPr>
            <w:tcW w:w="3597"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$25,000 - $100,000</w:t>
            </w:r>
          </w:p>
        </w:tc>
        <w:tc>
          <w:tcPr>
            <w:tcW w:w="2878"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NIH Director</w:t>
            </w:r>
          </w:p>
        </w:tc>
      </w:tr>
      <w:tr w:rsidR="009B112A" w:rsidRPr="00DC0585" w:rsidTr="009B112A">
        <w:trPr>
          <w:cantSplit/>
          <w:trHeight w:val="368"/>
        </w:trPr>
        <w:tc>
          <w:tcPr>
            <w:tcW w:w="2001" w:type="dxa"/>
            <w:vMerge/>
            <w:shd w:val="clear" w:color="auto" w:fill="auto"/>
          </w:tcPr>
          <w:p w:rsidR="009B112A" w:rsidRPr="00DC0585" w:rsidRDefault="009B112A" w:rsidP="00662ED1">
            <w:pPr>
              <w:jc w:val="center"/>
              <w:rPr>
                <w:rFonts w:ascii="Calibri" w:hAnsi="Calibri"/>
              </w:rPr>
            </w:pPr>
          </w:p>
        </w:tc>
        <w:tc>
          <w:tcPr>
            <w:tcW w:w="3597"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Over $100,000</w:t>
            </w:r>
            <w:r>
              <w:rPr>
                <w:rFonts w:ascii="Calibri" w:hAnsi="Calibri"/>
              </w:rPr>
              <w:t>*</w:t>
            </w:r>
          </w:p>
        </w:tc>
        <w:tc>
          <w:tcPr>
            <w:tcW w:w="2878" w:type="dxa"/>
            <w:shd w:val="clear" w:color="auto" w:fill="auto"/>
            <w:vAlign w:val="center"/>
          </w:tcPr>
          <w:p w:rsidR="009B112A" w:rsidRPr="00DC0585" w:rsidRDefault="00054EEC" w:rsidP="00662ED1">
            <w:pPr>
              <w:jc w:val="center"/>
              <w:rPr>
                <w:rFonts w:ascii="Calibri" w:hAnsi="Calibri"/>
              </w:rPr>
            </w:pPr>
            <w:r>
              <w:rPr>
                <w:rFonts w:ascii="Calibri" w:hAnsi="Calibri"/>
              </w:rPr>
              <w:t>DHHS</w:t>
            </w:r>
            <w:r w:rsidR="009B112A" w:rsidRPr="00DC0585">
              <w:rPr>
                <w:rFonts w:ascii="Calibri" w:hAnsi="Calibri"/>
              </w:rPr>
              <w:t xml:space="preserve"> Deputy Secretary</w:t>
            </w:r>
          </w:p>
        </w:tc>
      </w:tr>
      <w:tr w:rsidR="009B112A" w:rsidRPr="00DC0585" w:rsidTr="009B112A">
        <w:trPr>
          <w:trHeight w:val="98"/>
        </w:trPr>
        <w:tc>
          <w:tcPr>
            <w:tcW w:w="8476" w:type="dxa"/>
            <w:gridSpan w:val="3"/>
            <w:shd w:val="clear" w:color="auto" w:fill="auto"/>
          </w:tcPr>
          <w:p w:rsidR="009B112A" w:rsidRPr="00DC0585" w:rsidRDefault="009B112A" w:rsidP="00662ED1">
            <w:pPr>
              <w:jc w:val="center"/>
              <w:rPr>
                <w:rFonts w:ascii="Calibri" w:hAnsi="Calibri"/>
              </w:rPr>
            </w:pPr>
            <w:r>
              <w:rPr>
                <w:rFonts w:ascii="Calibri" w:hAnsi="Calibri"/>
              </w:rPr>
              <w:t>*Conferences obligating o</w:t>
            </w:r>
            <w:r w:rsidRPr="00DC0585">
              <w:rPr>
                <w:rFonts w:ascii="Calibri" w:hAnsi="Calibri"/>
              </w:rPr>
              <w:t>ver $500,000</w:t>
            </w:r>
            <w:r>
              <w:rPr>
                <w:rFonts w:ascii="Calibri" w:hAnsi="Calibri"/>
              </w:rPr>
              <w:t xml:space="preserve"> will require a waiver from the </w:t>
            </w:r>
            <w:r w:rsidR="00054EEC">
              <w:rPr>
                <w:rFonts w:ascii="Calibri" w:hAnsi="Calibri"/>
              </w:rPr>
              <w:t>DHHS</w:t>
            </w:r>
            <w:r w:rsidRPr="00DC0585">
              <w:rPr>
                <w:rFonts w:ascii="Calibri" w:hAnsi="Calibri"/>
              </w:rPr>
              <w:t xml:space="preserve"> Secretary</w:t>
            </w:r>
            <w:r>
              <w:rPr>
                <w:rFonts w:ascii="Calibri" w:hAnsi="Calibri"/>
              </w:rPr>
              <w:t>.</w:t>
            </w:r>
          </w:p>
        </w:tc>
      </w:tr>
    </w:tbl>
    <w:p w:rsidR="009B112A" w:rsidRPr="00A15171" w:rsidRDefault="009B112A" w:rsidP="0018194D"/>
    <w:p w:rsidR="009B112A" w:rsidRDefault="00816FCE" w:rsidP="0018194D">
      <w:r>
        <w:t>The Office of Acquisition</w:t>
      </w:r>
      <w:r w:rsidR="008A0BD3">
        <w:t>s</w:t>
      </w:r>
      <w:r>
        <w:t xml:space="preserve"> and Logistics Management (</w:t>
      </w:r>
      <w:r w:rsidR="00334092">
        <w:t>OALM</w:t>
      </w:r>
      <w:r>
        <w:t>)</w:t>
      </w:r>
      <w:r w:rsidR="00334092">
        <w:t xml:space="preserve"> </w:t>
      </w:r>
      <w:r w:rsidR="009B112A" w:rsidRPr="00A15171">
        <w:t xml:space="preserve">has established an Efficient Spending Policy (ESP) email box for </w:t>
      </w:r>
      <w:r w:rsidR="009B112A">
        <w:t xml:space="preserve">receipt of </w:t>
      </w:r>
      <w:r w:rsidR="009B112A" w:rsidRPr="00A15171">
        <w:t>all conference and meeting space questions and</w:t>
      </w:r>
      <w:r w:rsidR="009B112A">
        <w:t xml:space="preserve"> submission of approval request p</w:t>
      </w:r>
      <w:r w:rsidR="009B112A" w:rsidRPr="00A15171">
        <w:t>ackages</w:t>
      </w:r>
      <w:r w:rsidR="009B112A">
        <w:t>.</w:t>
      </w:r>
    </w:p>
    <w:p w:rsidR="009B112A" w:rsidRDefault="009B112A" w:rsidP="0018194D">
      <w:pPr>
        <w:rPr>
          <w:sz w:val="22"/>
          <w:szCs w:val="22"/>
        </w:rPr>
      </w:pPr>
    </w:p>
    <w:p w:rsidR="009B112A" w:rsidRPr="00DE359A" w:rsidRDefault="009B112A" w:rsidP="009B112A">
      <w:pPr>
        <w:rPr>
          <w:rStyle w:val="Strong"/>
        </w:rPr>
      </w:pPr>
      <w:r w:rsidRPr="00DE359A">
        <w:rPr>
          <w:rStyle w:val="Strong"/>
        </w:rPr>
        <w:t>Approval Document Routing:</w:t>
      </w:r>
    </w:p>
    <w:p w:rsidR="009B112A" w:rsidRPr="00A15171" w:rsidRDefault="009B112A" w:rsidP="009B112A">
      <w:pPr>
        <w:rPr>
          <w:b/>
          <w:szCs w:val="24"/>
        </w:rPr>
      </w:pPr>
    </w:p>
    <w:p w:rsidR="009B112A" w:rsidRPr="00355251" w:rsidRDefault="009B112A" w:rsidP="0018194D">
      <w:pPr>
        <w:rPr>
          <w:u w:val="single"/>
        </w:rPr>
      </w:pPr>
      <w:r w:rsidRPr="00355251">
        <w:rPr>
          <w:u w:val="single"/>
        </w:rPr>
        <w:t xml:space="preserve">Below $25,000 Approval by IC Executive Officer </w:t>
      </w:r>
    </w:p>
    <w:p w:rsidR="009B112A" w:rsidRDefault="009B112A" w:rsidP="0018194D">
      <w:r w:rsidRPr="005F76D6">
        <w:t xml:space="preserve">NIH IC Point of Contact for </w:t>
      </w:r>
      <w:r>
        <w:t>C</w:t>
      </w:r>
      <w:r w:rsidRPr="005F76D6">
        <w:t xml:space="preserve">onference </w:t>
      </w:r>
      <w:r>
        <w:t>T</w:t>
      </w:r>
      <w:r w:rsidRPr="005F76D6">
        <w:t>racking</w:t>
      </w:r>
      <w:r>
        <w:t xml:space="preserve"> maintains IC records </w:t>
      </w:r>
    </w:p>
    <w:p w:rsidR="009B112A" w:rsidRPr="00A15171" w:rsidRDefault="009B112A" w:rsidP="0018194D"/>
    <w:p w:rsidR="009B112A" w:rsidRPr="00240247" w:rsidRDefault="009B112A" w:rsidP="0018194D">
      <w:pPr>
        <w:rPr>
          <w:u w:val="single"/>
        </w:rPr>
      </w:pPr>
      <w:r w:rsidRPr="00240247">
        <w:rPr>
          <w:u w:val="single"/>
        </w:rPr>
        <w:t xml:space="preserve">$25,000 to $100,000 Approval by NIH Director </w:t>
      </w:r>
    </w:p>
    <w:p w:rsidR="009B112A" w:rsidRPr="009B112A" w:rsidRDefault="009B112A" w:rsidP="00240247">
      <w:pPr>
        <w:pStyle w:val="ListParagraph"/>
        <w:numPr>
          <w:ilvl w:val="0"/>
          <w:numId w:val="26"/>
        </w:numPr>
      </w:pPr>
      <w:r w:rsidRPr="00A15171">
        <w:t xml:space="preserve">IC submits </w:t>
      </w:r>
      <w:r w:rsidR="00F35BEF">
        <w:t>NIH Conference / Meeting Approval</w:t>
      </w:r>
      <w:r w:rsidR="00A069DB">
        <w:t xml:space="preserve"> request</w:t>
      </w:r>
      <w:r w:rsidR="00F35BEF">
        <w:t xml:space="preserve"> </w:t>
      </w:r>
      <w:r w:rsidR="00A069DB">
        <w:t>package including Attachment A (plus anything germane to the request for approval) to</w:t>
      </w:r>
      <w:r w:rsidRPr="00A15171">
        <w:t xml:space="preserve"> </w:t>
      </w:r>
      <w:r w:rsidR="00334092">
        <w:t>OALM</w:t>
      </w:r>
      <w:r w:rsidRPr="00A15171">
        <w:t xml:space="preserve"> via </w:t>
      </w:r>
      <w:hyperlink r:id="rId23" w:history="1">
        <w:r w:rsidRPr="00240247">
          <w:rPr>
            <w:rFonts w:eastAsia="Arial Unicode MS"/>
            <w:u w:val="single"/>
          </w:rPr>
          <w:t>EfficientSpendingPolicy@NIH.gov</w:t>
        </w:r>
      </w:hyperlink>
    </w:p>
    <w:p w:rsidR="009B112A" w:rsidRPr="00A15171" w:rsidRDefault="00F35BEF" w:rsidP="00240247">
      <w:pPr>
        <w:pStyle w:val="Header"/>
        <w:numPr>
          <w:ilvl w:val="0"/>
          <w:numId w:val="26"/>
        </w:numPr>
        <w:tabs>
          <w:tab w:val="clear" w:pos="4320"/>
          <w:tab w:val="clear" w:pos="8640"/>
        </w:tabs>
        <w:rPr>
          <w:szCs w:val="24"/>
        </w:rPr>
      </w:pPr>
      <w:r>
        <w:rPr>
          <w:szCs w:val="24"/>
        </w:rPr>
        <w:t xml:space="preserve">NIH Conference / Meeting Approval </w:t>
      </w:r>
      <w:r w:rsidR="00A069DB">
        <w:rPr>
          <w:szCs w:val="24"/>
        </w:rPr>
        <w:t xml:space="preserve">request package </w:t>
      </w:r>
      <w:r w:rsidR="009B112A" w:rsidRPr="00A15171">
        <w:rPr>
          <w:szCs w:val="24"/>
        </w:rPr>
        <w:t xml:space="preserve">is routed through </w:t>
      </w:r>
      <w:r w:rsidR="00334092">
        <w:rPr>
          <w:szCs w:val="24"/>
        </w:rPr>
        <w:t>OALM</w:t>
      </w:r>
      <w:r w:rsidR="009B112A" w:rsidRPr="00A15171">
        <w:rPr>
          <w:szCs w:val="24"/>
        </w:rPr>
        <w:t>, DDM, to NIH Director</w:t>
      </w:r>
    </w:p>
    <w:p w:rsidR="008A0BD3" w:rsidRDefault="009B112A" w:rsidP="00AA7B96">
      <w:pPr>
        <w:pStyle w:val="Header"/>
        <w:numPr>
          <w:ilvl w:val="0"/>
          <w:numId w:val="26"/>
        </w:numPr>
        <w:tabs>
          <w:tab w:val="clear" w:pos="4320"/>
          <w:tab w:val="clear" w:pos="8640"/>
          <w:tab w:val="left" w:pos="7889"/>
        </w:tabs>
        <w:rPr>
          <w:szCs w:val="24"/>
        </w:rPr>
      </w:pPr>
      <w:r w:rsidRPr="008A0BD3">
        <w:rPr>
          <w:szCs w:val="24"/>
        </w:rPr>
        <w:t xml:space="preserve">NIH Director returns approval or disapproval </w:t>
      </w:r>
      <w:r w:rsidR="008A0BD3">
        <w:rPr>
          <w:szCs w:val="24"/>
        </w:rPr>
        <w:t>to OALM</w:t>
      </w:r>
      <w:r w:rsidR="00240247">
        <w:rPr>
          <w:szCs w:val="24"/>
        </w:rPr>
        <w:tab/>
      </w:r>
    </w:p>
    <w:p w:rsidR="009B112A" w:rsidRPr="008A0BD3" w:rsidRDefault="008A0BD3" w:rsidP="00AA7B96">
      <w:pPr>
        <w:pStyle w:val="Header"/>
        <w:numPr>
          <w:ilvl w:val="0"/>
          <w:numId w:val="26"/>
        </w:numPr>
        <w:tabs>
          <w:tab w:val="clear" w:pos="4320"/>
          <w:tab w:val="clear" w:pos="8640"/>
        </w:tabs>
        <w:rPr>
          <w:szCs w:val="24"/>
        </w:rPr>
      </w:pPr>
      <w:r>
        <w:rPr>
          <w:szCs w:val="24"/>
        </w:rPr>
        <w:t>OALM n</w:t>
      </w:r>
      <w:r w:rsidR="009B112A" w:rsidRPr="008A0BD3">
        <w:rPr>
          <w:szCs w:val="24"/>
        </w:rPr>
        <w:t>otifies IC via email</w:t>
      </w:r>
    </w:p>
    <w:p w:rsidR="009B112A" w:rsidRDefault="009B112A" w:rsidP="00AA7B96">
      <w:pPr>
        <w:pStyle w:val="ListParagraph"/>
        <w:numPr>
          <w:ilvl w:val="0"/>
          <w:numId w:val="26"/>
        </w:numPr>
      </w:pPr>
      <w:r w:rsidRPr="005F76D6">
        <w:t xml:space="preserve">NIH IC Point of Contact for </w:t>
      </w:r>
      <w:r>
        <w:t>C</w:t>
      </w:r>
      <w:r w:rsidRPr="005F76D6">
        <w:t xml:space="preserve">onference </w:t>
      </w:r>
      <w:r>
        <w:t>T</w:t>
      </w:r>
      <w:r w:rsidRPr="005F76D6">
        <w:t>racking</w:t>
      </w:r>
      <w:r>
        <w:t xml:space="preserve"> maintains IC records </w:t>
      </w:r>
    </w:p>
    <w:p w:rsidR="009B112A" w:rsidRPr="00A15171" w:rsidRDefault="009B112A" w:rsidP="0018194D"/>
    <w:p w:rsidR="009B112A" w:rsidRPr="00662ED1" w:rsidRDefault="009B112A" w:rsidP="0018194D">
      <w:pPr>
        <w:rPr>
          <w:u w:val="single"/>
        </w:rPr>
      </w:pPr>
      <w:r w:rsidRPr="00662ED1">
        <w:rPr>
          <w:u w:val="single"/>
        </w:rPr>
        <w:t xml:space="preserve">Above $100,000 Approval by </w:t>
      </w:r>
      <w:r w:rsidR="00054EEC">
        <w:rPr>
          <w:u w:val="single"/>
        </w:rPr>
        <w:t>DHHS</w:t>
      </w:r>
      <w:r w:rsidRPr="00662ED1">
        <w:rPr>
          <w:u w:val="single"/>
        </w:rPr>
        <w:t xml:space="preserve"> Deputy Secretary</w:t>
      </w:r>
    </w:p>
    <w:p w:rsidR="009B112A" w:rsidRPr="009B112A" w:rsidRDefault="009B112A" w:rsidP="00AA7B96">
      <w:pPr>
        <w:pStyle w:val="ListParagraph"/>
        <w:numPr>
          <w:ilvl w:val="0"/>
          <w:numId w:val="27"/>
        </w:numPr>
      </w:pPr>
      <w:r w:rsidRPr="00A15171">
        <w:t xml:space="preserve">IC submits </w:t>
      </w:r>
      <w:r w:rsidR="00F35BEF">
        <w:t xml:space="preserve">NIH Conference / Meeting Approval </w:t>
      </w:r>
      <w:r w:rsidR="00A069DB">
        <w:t>request package including Attachment A (plus anything germane to the request for approval) to</w:t>
      </w:r>
      <w:r w:rsidR="00A069DB" w:rsidRPr="00A15171">
        <w:t xml:space="preserve"> </w:t>
      </w:r>
      <w:r w:rsidR="00A069DB">
        <w:t>OALM</w:t>
      </w:r>
      <w:r w:rsidRPr="00A15171">
        <w:t xml:space="preserve"> via </w:t>
      </w:r>
      <w:hyperlink r:id="rId24" w:history="1">
        <w:r w:rsidRPr="00AA7B96">
          <w:rPr>
            <w:rFonts w:eastAsia="Arial Unicode MS"/>
            <w:u w:val="single"/>
          </w:rPr>
          <w:t>EfficientSpendingPolicy@NIH.gov</w:t>
        </w:r>
      </w:hyperlink>
    </w:p>
    <w:p w:rsidR="009B112A" w:rsidRPr="00A15171" w:rsidRDefault="00334092" w:rsidP="00AA7B96">
      <w:pPr>
        <w:pStyle w:val="ListParagraph"/>
        <w:numPr>
          <w:ilvl w:val="0"/>
          <w:numId w:val="27"/>
        </w:numPr>
      </w:pPr>
      <w:r>
        <w:t>OALM</w:t>
      </w:r>
      <w:r w:rsidR="009B112A" w:rsidRPr="00A15171">
        <w:t xml:space="preserve"> receives NIH Director</w:t>
      </w:r>
      <w:r w:rsidR="009B112A">
        <w:t>’</w:t>
      </w:r>
      <w:r w:rsidR="009B112A" w:rsidRPr="00A15171">
        <w:t>s concurrence through ESP email box</w:t>
      </w:r>
    </w:p>
    <w:p w:rsidR="009B112A" w:rsidRPr="00A15171" w:rsidRDefault="00334092" w:rsidP="00AA7B96">
      <w:pPr>
        <w:pStyle w:val="ListParagraph"/>
        <w:numPr>
          <w:ilvl w:val="0"/>
          <w:numId w:val="27"/>
        </w:numPr>
      </w:pPr>
      <w:r>
        <w:t>OALM</w:t>
      </w:r>
      <w:r w:rsidR="009B112A" w:rsidRPr="00A15171">
        <w:t xml:space="preserve"> </w:t>
      </w:r>
      <w:r w:rsidR="00A069DB">
        <w:t>s</w:t>
      </w:r>
      <w:r w:rsidR="009B112A" w:rsidRPr="00A15171">
        <w:t xml:space="preserve">ubmits </w:t>
      </w:r>
      <w:r w:rsidR="00F35BEF">
        <w:t>NIH Conference / Meeting Approval Form</w:t>
      </w:r>
      <w:r w:rsidR="00F35BEF" w:rsidRPr="00A15171" w:rsidDel="00F35BEF">
        <w:t xml:space="preserve"> </w:t>
      </w:r>
      <w:r w:rsidR="009B112A" w:rsidRPr="00A15171">
        <w:t xml:space="preserve">to Deputy Secretary </w:t>
      </w:r>
      <w:r w:rsidR="00054EEC">
        <w:t>DHHS</w:t>
      </w:r>
      <w:r w:rsidR="009B112A" w:rsidRPr="00A15171">
        <w:t xml:space="preserve"> through SharePoint Site  </w:t>
      </w:r>
    </w:p>
    <w:p w:rsidR="009B112A" w:rsidRPr="00A15171" w:rsidRDefault="00334092" w:rsidP="00AA7B96">
      <w:pPr>
        <w:pStyle w:val="ListParagraph"/>
        <w:numPr>
          <w:ilvl w:val="0"/>
          <w:numId w:val="27"/>
        </w:numPr>
      </w:pPr>
      <w:r>
        <w:t>OALM</w:t>
      </w:r>
      <w:r w:rsidR="009B112A" w:rsidRPr="00A15171">
        <w:t xml:space="preserve"> is notified of approval or disapprova</w:t>
      </w:r>
      <w:r w:rsidR="00634B5F">
        <w:t>l within 10 calendar days per DHHS</w:t>
      </w:r>
      <w:r w:rsidR="008572AA">
        <w:t xml:space="preserve"> p</w:t>
      </w:r>
      <w:r w:rsidR="00634B5F">
        <w:t>olicy</w:t>
      </w:r>
    </w:p>
    <w:p w:rsidR="009B112A" w:rsidRPr="00A15171" w:rsidRDefault="00334092" w:rsidP="00AA7B96">
      <w:pPr>
        <w:pStyle w:val="ListParagraph"/>
        <w:numPr>
          <w:ilvl w:val="0"/>
          <w:numId w:val="27"/>
        </w:numPr>
      </w:pPr>
      <w:r>
        <w:t>OALM</w:t>
      </w:r>
      <w:r w:rsidR="009B112A" w:rsidRPr="00A15171">
        <w:t xml:space="preserve"> notifies IC via email</w:t>
      </w:r>
    </w:p>
    <w:p w:rsidR="009B112A" w:rsidRDefault="009B112A" w:rsidP="00AA7B96">
      <w:pPr>
        <w:pStyle w:val="ListParagraph"/>
        <w:numPr>
          <w:ilvl w:val="0"/>
          <w:numId w:val="27"/>
        </w:numPr>
      </w:pPr>
      <w:r w:rsidRPr="005F76D6">
        <w:t xml:space="preserve">NIH IC Point of Contact for </w:t>
      </w:r>
      <w:r>
        <w:t>C</w:t>
      </w:r>
      <w:r w:rsidRPr="005F76D6">
        <w:t xml:space="preserve">onference </w:t>
      </w:r>
      <w:r>
        <w:t>T</w:t>
      </w:r>
      <w:r w:rsidRPr="005F76D6">
        <w:t>racking</w:t>
      </w:r>
      <w:r>
        <w:t xml:space="preserve"> maintains IC records for reporting purposes</w:t>
      </w:r>
    </w:p>
    <w:p w:rsidR="009B112A" w:rsidRPr="00A15171" w:rsidRDefault="009B112A" w:rsidP="0018194D"/>
    <w:p w:rsidR="009B112A" w:rsidRPr="00662ED1" w:rsidRDefault="009B112A" w:rsidP="0018194D">
      <w:r w:rsidRPr="00662ED1">
        <w:rPr>
          <w:u w:val="single"/>
        </w:rPr>
        <w:t xml:space="preserve">Above $500,000 Approval by </w:t>
      </w:r>
      <w:r w:rsidR="00054EEC">
        <w:rPr>
          <w:u w:val="single"/>
        </w:rPr>
        <w:t>DHHS</w:t>
      </w:r>
      <w:r w:rsidRPr="00662ED1">
        <w:rPr>
          <w:u w:val="single"/>
        </w:rPr>
        <w:t xml:space="preserve"> Secretary</w:t>
      </w:r>
      <w:r w:rsidRPr="00662ED1">
        <w:t xml:space="preserve"> </w:t>
      </w:r>
    </w:p>
    <w:p w:rsidR="009B112A" w:rsidRPr="009B112A" w:rsidRDefault="009B112A" w:rsidP="00AA7B96">
      <w:pPr>
        <w:pStyle w:val="ListParagraph"/>
        <w:numPr>
          <w:ilvl w:val="0"/>
          <w:numId w:val="28"/>
        </w:numPr>
      </w:pPr>
      <w:r w:rsidRPr="00A15171">
        <w:t xml:space="preserve">IC submits approval &amp; waiver request package to </w:t>
      </w:r>
      <w:r w:rsidR="00334092">
        <w:t>OALM</w:t>
      </w:r>
      <w:r w:rsidRPr="00A15171">
        <w:t xml:space="preserve"> via </w:t>
      </w:r>
      <w:hyperlink r:id="rId25" w:history="1">
        <w:r w:rsidRPr="00AA7B96">
          <w:rPr>
            <w:rFonts w:eastAsia="Arial Unicode MS"/>
            <w:u w:val="single"/>
          </w:rPr>
          <w:t>EfficientSpendingPolicy@NIH.gov</w:t>
        </w:r>
      </w:hyperlink>
    </w:p>
    <w:p w:rsidR="009B112A" w:rsidRPr="00A15171" w:rsidRDefault="009B112A" w:rsidP="0018194D">
      <w:r w:rsidRPr="00A15171">
        <w:t xml:space="preserve">Note: requests for waivers must include Attachment </w:t>
      </w:r>
      <w:r>
        <w:t>A</w:t>
      </w:r>
      <w:r w:rsidRPr="00A15171">
        <w:t xml:space="preserve"> </w:t>
      </w:r>
      <w:r w:rsidRPr="00A15171">
        <w:rPr>
          <w:u w:val="single"/>
        </w:rPr>
        <w:t>and</w:t>
      </w:r>
      <w:r w:rsidRPr="00A15171">
        <w:t xml:space="preserve"> Attachment </w:t>
      </w:r>
      <w:r>
        <w:t>B</w:t>
      </w:r>
    </w:p>
    <w:p w:rsidR="009B112A" w:rsidRPr="00A15171" w:rsidRDefault="00334092" w:rsidP="00AA7B96">
      <w:pPr>
        <w:pStyle w:val="ListParagraph"/>
        <w:numPr>
          <w:ilvl w:val="0"/>
          <w:numId w:val="28"/>
        </w:numPr>
      </w:pPr>
      <w:r>
        <w:t>OALM</w:t>
      </w:r>
      <w:r w:rsidR="009B112A" w:rsidRPr="00A15171">
        <w:t xml:space="preserve"> receives NIH Directors’ concurrence through ESP email box</w:t>
      </w:r>
    </w:p>
    <w:p w:rsidR="009B112A" w:rsidRPr="00A15171" w:rsidRDefault="00334092" w:rsidP="00AA7B96">
      <w:pPr>
        <w:pStyle w:val="ListParagraph"/>
        <w:numPr>
          <w:ilvl w:val="0"/>
          <w:numId w:val="28"/>
        </w:numPr>
      </w:pPr>
      <w:r>
        <w:t>OALM</w:t>
      </w:r>
      <w:r w:rsidR="009B112A" w:rsidRPr="00A15171">
        <w:t xml:space="preserve"> Submits IC approval request package to Deputy Secretary </w:t>
      </w:r>
      <w:r w:rsidR="00054EEC">
        <w:t>DHHS</w:t>
      </w:r>
      <w:r w:rsidR="009B112A" w:rsidRPr="00A15171">
        <w:t xml:space="preserve"> through SharePoint Site  </w:t>
      </w:r>
    </w:p>
    <w:p w:rsidR="009B112A" w:rsidRPr="00A15171" w:rsidRDefault="00334092" w:rsidP="00AA7B96">
      <w:pPr>
        <w:pStyle w:val="ListParagraph"/>
        <w:numPr>
          <w:ilvl w:val="0"/>
          <w:numId w:val="28"/>
        </w:numPr>
      </w:pPr>
      <w:r>
        <w:t>OALM</w:t>
      </w:r>
      <w:r w:rsidR="009B112A" w:rsidRPr="00A15171">
        <w:t xml:space="preserve"> is notified of approval or disapproval </w:t>
      </w:r>
      <w:r w:rsidR="00FF2121">
        <w:t>within 10 calendar days per DHHS policy</w:t>
      </w:r>
    </w:p>
    <w:p w:rsidR="009B112A" w:rsidRPr="00A15171" w:rsidRDefault="00334092" w:rsidP="00AA7B96">
      <w:pPr>
        <w:pStyle w:val="ListParagraph"/>
        <w:numPr>
          <w:ilvl w:val="0"/>
          <w:numId w:val="28"/>
        </w:numPr>
      </w:pPr>
      <w:r>
        <w:t>OALM</w:t>
      </w:r>
      <w:r w:rsidR="009B112A" w:rsidRPr="00A15171">
        <w:t xml:space="preserve"> notifies IC via email</w:t>
      </w:r>
    </w:p>
    <w:p w:rsidR="009B112A" w:rsidRDefault="009B112A" w:rsidP="00AA7B96">
      <w:pPr>
        <w:pStyle w:val="ListParagraph"/>
        <w:numPr>
          <w:ilvl w:val="0"/>
          <w:numId w:val="28"/>
        </w:numPr>
      </w:pPr>
      <w:r w:rsidRPr="005F76D6">
        <w:t xml:space="preserve">NIH IC Point of Contact for </w:t>
      </w:r>
      <w:r>
        <w:t>C</w:t>
      </w:r>
      <w:r w:rsidRPr="005F76D6">
        <w:t xml:space="preserve">onference </w:t>
      </w:r>
      <w:r>
        <w:t>T</w:t>
      </w:r>
      <w:r w:rsidRPr="005F76D6">
        <w:t>racking</w:t>
      </w:r>
      <w:r>
        <w:t xml:space="preserve"> maintains IC records for reporting purposes </w:t>
      </w:r>
    </w:p>
    <w:p w:rsidR="009B112A" w:rsidRPr="00A15171" w:rsidRDefault="009B112A" w:rsidP="0018194D"/>
    <w:p w:rsidR="009B112A" w:rsidRPr="00662ED1" w:rsidRDefault="009B112A" w:rsidP="0018194D">
      <w:pPr>
        <w:rPr>
          <w:u w:val="single"/>
        </w:rPr>
      </w:pPr>
      <w:r w:rsidRPr="00662ED1">
        <w:rPr>
          <w:u w:val="single"/>
        </w:rPr>
        <w:t>B. Conference Grants and Cooperative Agreements</w:t>
      </w:r>
    </w:p>
    <w:p w:rsidR="009B112A" w:rsidRDefault="009B112A" w:rsidP="009B112A">
      <w:pPr>
        <w:rPr>
          <w:b/>
          <w:sz w:val="22"/>
          <w:szCs w:val="22"/>
        </w:rPr>
      </w:pPr>
    </w:p>
    <w:p w:rsidR="009B112A" w:rsidRPr="00662ED1" w:rsidRDefault="009B112A" w:rsidP="0018194D">
      <w:r w:rsidRPr="00662ED1">
        <w:t>This section is applicable when the primary purpose of a grant or cooperative agreement is to support a conference. Prior to the obligation of funds (whether from an annual appropriation, multi-year appropriation, appropriated user fee, mandatory appropriation, gift funds,</w:t>
      </w:r>
      <w:r w:rsidR="00634B5F">
        <w:t xml:space="preserve"> royalty funds</w:t>
      </w:r>
      <w:r w:rsidRPr="00662ED1">
        <w:t xml:space="preserve"> or reimbursements from such appropriations, etc.) by grant or cooperative agreement to support a conference, the sponsoring office must obtain approval (which may not be </w:t>
      </w:r>
      <w:r w:rsidR="00295F09">
        <w:t>re</w:t>
      </w:r>
      <w:r w:rsidRPr="00662ED1">
        <w:t>delegated).</w:t>
      </w:r>
    </w:p>
    <w:p w:rsidR="00856054" w:rsidRPr="00DE359A" w:rsidRDefault="00856054" w:rsidP="00856054">
      <w:pPr>
        <w:pStyle w:val="Heading1"/>
        <w:numPr>
          <w:ilvl w:val="0"/>
          <w:numId w:val="0"/>
        </w:numPr>
        <w:spacing w:after="0"/>
        <w:ind w:left="360"/>
        <w:rPr>
          <w:b w:val="0"/>
          <w:sz w:val="24"/>
          <w:szCs w:val="24"/>
        </w:rPr>
      </w:pPr>
      <w:r w:rsidRPr="00DE359A">
        <w:rPr>
          <w:b w:val="0"/>
          <w:sz w:val="24"/>
          <w:szCs w:val="24"/>
        </w:rPr>
        <w:t>Table B</w:t>
      </w:r>
    </w:p>
    <w:p w:rsidR="00856054" w:rsidRPr="00DE359A" w:rsidRDefault="00856054" w:rsidP="00856054">
      <w:pPr>
        <w:pStyle w:val="Heading1"/>
        <w:numPr>
          <w:ilvl w:val="0"/>
          <w:numId w:val="0"/>
        </w:numPr>
        <w:spacing w:after="0"/>
        <w:ind w:left="360"/>
        <w:rPr>
          <w:rStyle w:val="Emphasis"/>
          <w:b w:val="0"/>
        </w:rPr>
      </w:pPr>
      <w:r w:rsidRPr="00DE359A">
        <w:rPr>
          <w:rStyle w:val="Emphasis"/>
          <w:b w:val="0"/>
        </w:rPr>
        <w:t>Approval Thresholds and Approval Levels for Conferences Grants and Cooperative Agreements</w:t>
      </w:r>
    </w:p>
    <w:p w:rsidR="009275EC" w:rsidRDefault="009275EC" w:rsidP="00F90230">
      <w:pPr>
        <w:jc w:val="center"/>
        <w:rPr>
          <w:bCs/>
          <w:kern w:val="36"/>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3012"/>
        <w:gridCol w:w="3013"/>
      </w:tblGrid>
      <w:tr w:rsidR="009B112A" w:rsidRPr="00DC0585" w:rsidTr="009B112A">
        <w:trPr>
          <w:trHeight w:val="288"/>
        </w:trPr>
        <w:tc>
          <w:tcPr>
            <w:tcW w:w="2705" w:type="dxa"/>
            <w:vMerge w:val="restart"/>
            <w:shd w:val="clear" w:color="auto" w:fill="auto"/>
            <w:vAlign w:val="center"/>
          </w:tcPr>
          <w:p w:rsidR="009B112A" w:rsidRDefault="009B112A" w:rsidP="00662ED1">
            <w:pPr>
              <w:jc w:val="center"/>
              <w:rPr>
                <w:rFonts w:ascii="Calibri" w:hAnsi="Calibri"/>
              </w:rPr>
            </w:pPr>
            <w:r w:rsidRPr="002F1826">
              <w:rPr>
                <w:rFonts w:ascii="Calibri" w:hAnsi="Calibri"/>
              </w:rPr>
              <w:t xml:space="preserve">CONFERENCE GRANTS AND </w:t>
            </w:r>
          </w:p>
          <w:p w:rsidR="009B112A" w:rsidRPr="00DC0585" w:rsidRDefault="009B112A" w:rsidP="00662ED1">
            <w:pPr>
              <w:jc w:val="center"/>
              <w:rPr>
                <w:rFonts w:ascii="Calibri" w:hAnsi="Calibri"/>
              </w:rPr>
            </w:pPr>
            <w:r w:rsidRPr="002F1826">
              <w:rPr>
                <w:rFonts w:ascii="Calibri" w:hAnsi="Calibri"/>
              </w:rPr>
              <w:t>COOPERATIVE AGREEMENTS</w:t>
            </w:r>
          </w:p>
        </w:tc>
        <w:tc>
          <w:tcPr>
            <w:tcW w:w="3012" w:type="dxa"/>
            <w:shd w:val="clear" w:color="auto" w:fill="BFBFBF"/>
            <w:vAlign w:val="center"/>
          </w:tcPr>
          <w:p w:rsidR="009B112A" w:rsidRPr="00DC0585" w:rsidRDefault="009B112A" w:rsidP="00662ED1">
            <w:pPr>
              <w:jc w:val="center"/>
              <w:rPr>
                <w:rFonts w:ascii="Calibri" w:hAnsi="Calibri"/>
              </w:rPr>
            </w:pPr>
            <w:r w:rsidRPr="00DC0585">
              <w:rPr>
                <w:rFonts w:ascii="Calibri" w:hAnsi="Calibri"/>
              </w:rPr>
              <w:t>AMOUNT TO BE OBLIGATED</w:t>
            </w:r>
          </w:p>
        </w:tc>
        <w:tc>
          <w:tcPr>
            <w:tcW w:w="3013" w:type="dxa"/>
            <w:shd w:val="clear" w:color="auto" w:fill="BFBFBF"/>
            <w:vAlign w:val="center"/>
          </w:tcPr>
          <w:p w:rsidR="009B112A" w:rsidRPr="00DC0585" w:rsidRDefault="009B112A" w:rsidP="00662ED1">
            <w:pPr>
              <w:jc w:val="center"/>
              <w:rPr>
                <w:rFonts w:ascii="Calibri" w:hAnsi="Calibri"/>
              </w:rPr>
            </w:pPr>
            <w:r w:rsidRPr="00DC0585">
              <w:rPr>
                <w:rFonts w:ascii="Calibri" w:hAnsi="Calibri"/>
              </w:rPr>
              <w:t>APPROVAL LEVEL</w:t>
            </w:r>
          </w:p>
        </w:tc>
      </w:tr>
      <w:tr w:rsidR="009B112A" w:rsidRPr="00DC0585" w:rsidTr="009B112A">
        <w:trPr>
          <w:trHeight w:val="288"/>
        </w:trPr>
        <w:tc>
          <w:tcPr>
            <w:tcW w:w="2705" w:type="dxa"/>
            <w:vMerge/>
            <w:shd w:val="clear" w:color="auto" w:fill="auto"/>
          </w:tcPr>
          <w:p w:rsidR="009B112A" w:rsidRPr="00DC0585" w:rsidRDefault="009B112A" w:rsidP="00662ED1">
            <w:pPr>
              <w:jc w:val="center"/>
              <w:rPr>
                <w:rFonts w:ascii="Calibri" w:hAnsi="Calibri"/>
              </w:rPr>
            </w:pPr>
          </w:p>
        </w:tc>
        <w:tc>
          <w:tcPr>
            <w:tcW w:w="3012"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Under $</w:t>
            </w:r>
            <w:r>
              <w:rPr>
                <w:rFonts w:ascii="Calibri" w:hAnsi="Calibri"/>
              </w:rPr>
              <w:t>100,000</w:t>
            </w:r>
          </w:p>
        </w:tc>
        <w:tc>
          <w:tcPr>
            <w:tcW w:w="3013" w:type="dxa"/>
            <w:shd w:val="clear" w:color="auto" w:fill="auto"/>
            <w:vAlign w:val="center"/>
          </w:tcPr>
          <w:p w:rsidR="009B112A" w:rsidRPr="00DC0585" w:rsidRDefault="009B112A" w:rsidP="00662ED1">
            <w:pPr>
              <w:jc w:val="center"/>
              <w:rPr>
                <w:rFonts w:ascii="Calibri" w:hAnsi="Calibri"/>
              </w:rPr>
            </w:pPr>
            <w:r>
              <w:rPr>
                <w:rFonts w:ascii="Calibri" w:hAnsi="Calibri"/>
              </w:rPr>
              <w:t>No Action Required</w:t>
            </w:r>
            <w:r w:rsidRPr="00DC0585">
              <w:rPr>
                <w:rFonts w:ascii="Calibri" w:hAnsi="Calibri"/>
              </w:rPr>
              <w:t xml:space="preserve"> </w:t>
            </w:r>
          </w:p>
        </w:tc>
      </w:tr>
      <w:tr w:rsidR="009B112A" w:rsidRPr="00DC0585" w:rsidTr="009B112A">
        <w:trPr>
          <w:trHeight w:val="288"/>
        </w:trPr>
        <w:tc>
          <w:tcPr>
            <w:tcW w:w="2705" w:type="dxa"/>
            <w:vMerge/>
            <w:shd w:val="clear" w:color="auto" w:fill="auto"/>
          </w:tcPr>
          <w:p w:rsidR="009B112A" w:rsidRPr="00DC0585" w:rsidRDefault="009B112A" w:rsidP="00662ED1">
            <w:pPr>
              <w:jc w:val="center"/>
              <w:rPr>
                <w:rFonts w:ascii="Calibri" w:hAnsi="Calibri"/>
              </w:rPr>
            </w:pPr>
          </w:p>
        </w:tc>
        <w:tc>
          <w:tcPr>
            <w:tcW w:w="3012" w:type="dxa"/>
            <w:shd w:val="clear" w:color="auto" w:fill="auto"/>
            <w:vAlign w:val="center"/>
          </w:tcPr>
          <w:p w:rsidR="009B112A" w:rsidRPr="00DC0585" w:rsidRDefault="009B112A" w:rsidP="00662ED1">
            <w:pPr>
              <w:jc w:val="center"/>
              <w:rPr>
                <w:rFonts w:ascii="Calibri" w:hAnsi="Calibri"/>
              </w:rPr>
            </w:pPr>
            <w:r w:rsidRPr="00DC0585">
              <w:rPr>
                <w:rFonts w:ascii="Calibri" w:hAnsi="Calibri"/>
              </w:rPr>
              <w:t>$100,000</w:t>
            </w:r>
            <w:r>
              <w:rPr>
                <w:rFonts w:ascii="Calibri" w:hAnsi="Calibri"/>
              </w:rPr>
              <w:t xml:space="preserve"> and Over*</w:t>
            </w:r>
          </w:p>
        </w:tc>
        <w:tc>
          <w:tcPr>
            <w:tcW w:w="3013" w:type="dxa"/>
            <w:shd w:val="clear" w:color="auto" w:fill="auto"/>
            <w:vAlign w:val="center"/>
          </w:tcPr>
          <w:p w:rsidR="009B112A" w:rsidRPr="00DC0585" w:rsidRDefault="009B112A" w:rsidP="00662ED1">
            <w:pPr>
              <w:jc w:val="center"/>
              <w:rPr>
                <w:rFonts w:ascii="Calibri" w:hAnsi="Calibri"/>
              </w:rPr>
            </w:pPr>
            <w:r>
              <w:rPr>
                <w:rFonts w:ascii="Calibri" w:hAnsi="Calibri"/>
              </w:rPr>
              <w:t xml:space="preserve">NIH Director and </w:t>
            </w:r>
            <w:r w:rsidR="00054EEC">
              <w:rPr>
                <w:rFonts w:ascii="Calibri" w:hAnsi="Calibri"/>
              </w:rPr>
              <w:t>DHHS</w:t>
            </w:r>
            <w:r>
              <w:rPr>
                <w:rFonts w:ascii="Calibri" w:hAnsi="Calibri"/>
              </w:rPr>
              <w:t xml:space="preserve"> Deputy Secretary</w:t>
            </w:r>
          </w:p>
        </w:tc>
      </w:tr>
      <w:tr w:rsidR="009B112A" w:rsidRPr="00DC0585" w:rsidTr="009B112A">
        <w:trPr>
          <w:trHeight w:val="350"/>
        </w:trPr>
        <w:tc>
          <w:tcPr>
            <w:tcW w:w="8730" w:type="dxa"/>
            <w:gridSpan w:val="3"/>
            <w:shd w:val="clear" w:color="auto" w:fill="auto"/>
          </w:tcPr>
          <w:p w:rsidR="009B112A" w:rsidRDefault="009B112A" w:rsidP="00ED3346">
            <w:pPr>
              <w:jc w:val="center"/>
              <w:rPr>
                <w:rFonts w:ascii="Calibri" w:hAnsi="Calibri"/>
              </w:rPr>
            </w:pPr>
            <w:r>
              <w:rPr>
                <w:rFonts w:ascii="Calibri" w:hAnsi="Calibri"/>
              </w:rPr>
              <w:t>*Conference</w:t>
            </w:r>
            <w:r w:rsidR="00467415">
              <w:rPr>
                <w:rFonts w:ascii="Calibri" w:hAnsi="Calibri"/>
              </w:rPr>
              <w:t xml:space="preserve"> Grants and Cooperative Agreements</w:t>
            </w:r>
            <w:r w:rsidR="00187DCA">
              <w:rPr>
                <w:rFonts w:ascii="Calibri" w:hAnsi="Calibri"/>
              </w:rPr>
              <w:t xml:space="preserve"> </w:t>
            </w:r>
            <w:r>
              <w:rPr>
                <w:rFonts w:ascii="Calibri" w:hAnsi="Calibri"/>
              </w:rPr>
              <w:t>obligating o</w:t>
            </w:r>
            <w:r w:rsidRPr="00DC0585">
              <w:rPr>
                <w:rFonts w:ascii="Calibri" w:hAnsi="Calibri"/>
              </w:rPr>
              <w:t>ver $500,000</w:t>
            </w:r>
            <w:r>
              <w:rPr>
                <w:rFonts w:ascii="Calibri" w:hAnsi="Calibri"/>
              </w:rPr>
              <w:t xml:space="preserve"> will require a waiver from the </w:t>
            </w:r>
            <w:r w:rsidR="00054EEC">
              <w:rPr>
                <w:rFonts w:ascii="Calibri" w:hAnsi="Calibri"/>
              </w:rPr>
              <w:t>DHHS</w:t>
            </w:r>
            <w:r w:rsidRPr="00DC0585">
              <w:rPr>
                <w:rFonts w:ascii="Calibri" w:hAnsi="Calibri"/>
              </w:rPr>
              <w:t xml:space="preserve"> Secretary</w:t>
            </w:r>
            <w:r>
              <w:rPr>
                <w:rFonts w:ascii="Calibri" w:hAnsi="Calibri"/>
              </w:rPr>
              <w:t>.</w:t>
            </w:r>
          </w:p>
        </w:tc>
      </w:tr>
    </w:tbl>
    <w:p w:rsidR="00AA7B96" w:rsidRDefault="00AA7B96" w:rsidP="003D3825">
      <w:pPr>
        <w:rPr>
          <w:b/>
        </w:rPr>
      </w:pPr>
    </w:p>
    <w:p w:rsidR="00AA7B96" w:rsidRDefault="00AA7B96">
      <w:pPr>
        <w:rPr>
          <w:b/>
        </w:rPr>
      </w:pPr>
      <w:r>
        <w:rPr>
          <w:b/>
        </w:rPr>
        <w:br w:type="page"/>
      </w:r>
    </w:p>
    <w:p w:rsidR="003D3825" w:rsidRPr="00DE359A" w:rsidRDefault="003D3825" w:rsidP="003D3825">
      <w:pPr>
        <w:rPr>
          <w:rStyle w:val="Strong"/>
        </w:rPr>
      </w:pPr>
      <w:r w:rsidRPr="00DE359A">
        <w:rPr>
          <w:rStyle w:val="Strong"/>
        </w:rPr>
        <w:lastRenderedPageBreak/>
        <w:t xml:space="preserve">Conference Grants </w:t>
      </w:r>
      <w:r w:rsidR="00545A1C" w:rsidRPr="00DE359A">
        <w:rPr>
          <w:rStyle w:val="Strong"/>
        </w:rPr>
        <w:t xml:space="preserve">and Cooperative Agreements </w:t>
      </w:r>
      <w:r w:rsidRPr="00DE359A">
        <w:rPr>
          <w:rStyle w:val="Strong"/>
        </w:rPr>
        <w:t>(R13/U13s) - $100,000 to $500,000</w:t>
      </w:r>
    </w:p>
    <w:p w:rsidR="003D3825" w:rsidRDefault="003D3825" w:rsidP="003D3825">
      <w:r>
        <w:t xml:space="preserve">For conference grants and cooperative agreements that meet the threshold $100,000 to $500,000, approval by the NIH Director must be submitted </w:t>
      </w:r>
      <w:r w:rsidR="00ED2BEE">
        <w:t xml:space="preserve">within </w:t>
      </w:r>
      <w:r>
        <w:t>40 calendar days prior to the obligation</w:t>
      </w:r>
      <w:r w:rsidR="00545A1C">
        <w:t>.</w:t>
      </w:r>
      <w:r>
        <w:t xml:space="preserve"> The following process must be followed:</w:t>
      </w:r>
    </w:p>
    <w:p w:rsidR="00ED2BEE" w:rsidRDefault="00ED2BEE" w:rsidP="003D3825"/>
    <w:p w:rsidR="00A67681" w:rsidRDefault="00A67681" w:rsidP="00A67681">
      <w:pPr>
        <w:pStyle w:val="ListParagraph"/>
        <w:numPr>
          <w:ilvl w:val="0"/>
          <w:numId w:val="15"/>
        </w:numPr>
        <w:contextualSpacing w:val="0"/>
      </w:pPr>
      <w:r>
        <w:t xml:space="preserve">The IC Grants Coordinator (generally the EPMC representative) sends the DHHS Conference Request and Approval form (Attachment A) and DHHS Conference Request for Waiver form (Attachment B) to OER Conference Grant Coordinator (currently Erica Brown) via email at: </w:t>
      </w:r>
      <w:hyperlink r:id="rId26" w:history="1">
        <w:r w:rsidRPr="008B1E2A">
          <w:rPr>
            <w:rStyle w:val="Hyperlink"/>
          </w:rPr>
          <w:t>r131@mail.nih.gov</w:t>
        </w:r>
      </w:hyperlink>
      <w:r>
        <w:t>.</w:t>
      </w:r>
    </w:p>
    <w:p w:rsidR="00A67681" w:rsidRDefault="00A67681" w:rsidP="00A67681">
      <w:pPr>
        <w:ind w:left="360"/>
      </w:pPr>
    </w:p>
    <w:p w:rsidR="00A67681" w:rsidRDefault="00A67681" w:rsidP="00A67681">
      <w:pPr>
        <w:pStyle w:val="ListParagraph"/>
        <w:numPr>
          <w:ilvl w:val="0"/>
          <w:numId w:val="15"/>
        </w:numPr>
        <w:contextualSpacing w:val="0"/>
      </w:pPr>
      <w:r>
        <w:t>OER Conference Grant Coordinator sends the request and approval form (Attachment A) along with the waiver form (Attachment B) to Executive Secretariat (ExecSec) with a cc to the DDER for the Director, NIH to review and approve via email within 3 business days from receipt. The forms will be accompanied by a cover memorandum to the Director, NIH that outlines the purpose for the package and will request that the Director, NIH sign the form.</w:t>
      </w:r>
    </w:p>
    <w:p w:rsidR="00A67681" w:rsidRDefault="00A67681" w:rsidP="00A67681">
      <w:pPr>
        <w:ind w:left="360"/>
      </w:pPr>
    </w:p>
    <w:p w:rsidR="00A67681" w:rsidRDefault="00A67681" w:rsidP="00A67681">
      <w:pPr>
        <w:pStyle w:val="ListParagraph"/>
        <w:numPr>
          <w:ilvl w:val="0"/>
          <w:numId w:val="15"/>
        </w:numPr>
        <w:contextualSpacing w:val="0"/>
      </w:pPr>
      <w:r>
        <w:t>Exec Sec will send the signed forms back to the OER Conference Grant Coordinator via email with a cc to the DDER within five business days from receipt.</w:t>
      </w:r>
    </w:p>
    <w:p w:rsidR="00A67681" w:rsidRDefault="00A67681" w:rsidP="00A67681">
      <w:pPr>
        <w:ind w:left="360"/>
      </w:pPr>
    </w:p>
    <w:p w:rsidR="00A67681" w:rsidRDefault="00A67681" w:rsidP="00A67681">
      <w:pPr>
        <w:pStyle w:val="ListParagraph"/>
        <w:numPr>
          <w:ilvl w:val="0"/>
          <w:numId w:val="15"/>
        </w:numPr>
        <w:contextualSpacing w:val="0"/>
      </w:pPr>
      <w:r>
        <w:t xml:space="preserve">OER Conference Grant Coordinator sends the signed approval forms to OGAPA at: </w:t>
      </w:r>
      <w:hyperlink r:id="rId27" w:history="1">
        <w:r w:rsidRPr="0083082F">
          <w:rPr>
            <w:rStyle w:val="Hyperlink"/>
          </w:rPr>
          <w:t>OGAPA@hhs.gov</w:t>
        </w:r>
      </w:hyperlink>
      <w:r>
        <w:t xml:space="preserve"> within 2 business days from receipt.</w:t>
      </w:r>
    </w:p>
    <w:p w:rsidR="00A67681" w:rsidRDefault="00A67681" w:rsidP="00A67681">
      <w:pPr>
        <w:pStyle w:val="ListParagraph"/>
      </w:pPr>
    </w:p>
    <w:p w:rsidR="00A67681" w:rsidRDefault="00A67681" w:rsidP="00A67681">
      <w:pPr>
        <w:pStyle w:val="ListParagraph"/>
        <w:numPr>
          <w:ilvl w:val="0"/>
          <w:numId w:val="15"/>
        </w:numPr>
        <w:contextualSpacing w:val="0"/>
      </w:pPr>
      <w:r>
        <w:t>OGAPA will send their approval/disapproval via email to the OER Conference Grant Coordinator.</w:t>
      </w:r>
    </w:p>
    <w:p w:rsidR="00A67681" w:rsidRDefault="00A67681" w:rsidP="00A67681">
      <w:pPr>
        <w:pStyle w:val="ListParagraph"/>
      </w:pPr>
    </w:p>
    <w:p w:rsidR="00A67681" w:rsidRDefault="00A67681" w:rsidP="00A67681">
      <w:pPr>
        <w:pStyle w:val="ListParagraph"/>
        <w:numPr>
          <w:ilvl w:val="0"/>
          <w:numId w:val="15"/>
        </w:numPr>
        <w:contextualSpacing w:val="0"/>
      </w:pPr>
      <w:r>
        <w:t>OER Conference Grant Coordinator will notify the IC Grant Coordinator within each respective IC (along with a cc to the DDER) so that awards may be made (or not) depending upon outcome from OGAPA.</w:t>
      </w:r>
    </w:p>
    <w:p w:rsidR="001E54AD" w:rsidRDefault="001E54AD" w:rsidP="001E54AD">
      <w:pPr>
        <w:pStyle w:val="ListParagraph"/>
      </w:pPr>
    </w:p>
    <w:p w:rsidR="001E54AD" w:rsidRPr="00DE359A" w:rsidRDefault="001E54AD" w:rsidP="001E54AD">
      <w:pPr>
        <w:rPr>
          <w:rStyle w:val="Strong"/>
        </w:rPr>
      </w:pPr>
      <w:r w:rsidRPr="00DE359A">
        <w:rPr>
          <w:rStyle w:val="Strong"/>
        </w:rPr>
        <w:t xml:space="preserve">Conference Grants </w:t>
      </w:r>
      <w:r w:rsidR="00545A1C" w:rsidRPr="00DE359A">
        <w:rPr>
          <w:rStyle w:val="Strong"/>
        </w:rPr>
        <w:t xml:space="preserve">and Cooperative Agreements </w:t>
      </w:r>
      <w:r w:rsidRPr="00DE359A">
        <w:rPr>
          <w:rStyle w:val="Strong"/>
        </w:rPr>
        <w:t>(R13/U13s) - Above $500,000</w:t>
      </w:r>
    </w:p>
    <w:p w:rsidR="001E54AD" w:rsidRDefault="001E54AD" w:rsidP="001E54AD">
      <w:r>
        <w:t>For conference grants and cooperative agreements that meet the threshold above $500,000, approval by the NIH Director must be submitted 40 calendar days prior to the obligation</w:t>
      </w:r>
      <w:r w:rsidR="00545A1C">
        <w:t xml:space="preserve">. </w:t>
      </w:r>
      <w:r>
        <w:t xml:space="preserve"> The following process must be followed:</w:t>
      </w:r>
    </w:p>
    <w:p w:rsidR="001E54AD" w:rsidRDefault="001E54AD" w:rsidP="001E54AD"/>
    <w:p w:rsidR="001E54AD" w:rsidRDefault="001E54AD" w:rsidP="001E54AD">
      <w:pPr>
        <w:pStyle w:val="ListParagraph"/>
        <w:numPr>
          <w:ilvl w:val="0"/>
          <w:numId w:val="19"/>
        </w:numPr>
        <w:contextualSpacing w:val="0"/>
      </w:pPr>
      <w:r>
        <w:t xml:space="preserve">The IC Grants Coordinator (generally the EPMC representative) sends the DHHS Conference Request and Approval form (Attachment A) and DHHS Conference Request for Waiver form (Attachment B) to OER Conference Grant Coordinator (currently Erica Brown) via email at: </w:t>
      </w:r>
      <w:hyperlink r:id="rId28" w:history="1">
        <w:r w:rsidRPr="008B1E2A">
          <w:rPr>
            <w:rStyle w:val="Hyperlink"/>
          </w:rPr>
          <w:t>r131@mail.nih.gov</w:t>
        </w:r>
      </w:hyperlink>
      <w:r>
        <w:t>.</w:t>
      </w:r>
    </w:p>
    <w:p w:rsidR="001E54AD" w:rsidRDefault="001E54AD" w:rsidP="001E54AD">
      <w:pPr>
        <w:ind w:left="360"/>
      </w:pPr>
    </w:p>
    <w:p w:rsidR="001E54AD" w:rsidRDefault="001E54AD" w:rsidP="001E54AD">
      <w:pPr>
        <w:pStyle w:val="ListParagraph"/>
        <w:numPr>
          <w:ilvl w:val="0"/>
          <w:numId w:val="19"/>
        </w:numPr>
        <w:contextualSpacing w:val="0"/>
      </w:pPr>
      <w:r>
        <w:t>OER Conference Grant Coordinator sends the request and approval form (Attachment A) along with the waiver form (Attachment B) to Executive Secretariat (ExecSec) with a cc to the DDER for the Director, NIH to review and approve via email within 3 business days from receipt. The forms will be accompanied by a cover memorandum to the Director, NIH that outlines the purpose for the package and will request that the Director, NIH sign the form.</w:t>
      </w:r>
    </w:p>
    <w:p w:rsidR="001E54AD" w:rsidRDefault="001E54AD" w:rsidP="001E54AD">
      <w:pPr>
        <w:pStyle w:val="ListParagraph"/>
        <w:numPr>
          <w:ilvl w:val="0"/>
          <w:numId w:val="19"/>
        </w:numPr>
        <w:contextualSpacing w:val="0"/>
      </w:pPr>
      <w:r>
        <w:lastRenderedPageBreak/>
        <w:t>Exec Sec will send the signed forms back to the OER Conference Grant Coordinator via email with a cc to the DDER within five business days from receipt.</w:t>
      </w:r>
    </w:p>
    <w:p w:rsidR="001E54AD" w:rsidRDefault="001E54AD" w:rsidP="001E54AD">
      <w:pPr>
        <w:ind w:left="360"/>
      </w:pPr>
    </w:p>
    <w:p w:rsidR="001E54AD" w:rsidRDefault="001E54AD" w:rsidP="001E54AD">
      <w:pPr>
        <w:pStyle w:val="ListParagraph"/>
        <w:numPr>
          <w:ilvl w:val="0"/>
          <w:numId w:val="19"/>
        </w:numPr>
        <w:contextualSpacing w:val="0"/>
      </w:pPr>
      <w:r>
        <w:t xml:space="preserve">OER Conference Grant Coordinator sends the signed approval forms to OGAPA at: </w:t>
      </w:r>
      <w:hyperlink r:id="rId29" w:history="1">
        <w:r w:rsidRPr="0083082F">
          <w:rPr>
            <w:rStyle w:val="Hyperlink"/>
          </w:rPr>
          <w:t>OGAPA@hhs.gov</w:t>
        </w:r>
      </w:hyperlink>
      <w:r>
        <w:t xml:space="preserve"> within 2 business days from receipt.</w:t>
      </w:r>
    </w:p>
    <w:p w:rsidR="001E54AD" w:rsidRDefault="001E54AD" w:rsidP="001E54AD">
      <w:pPr>
        <w:pStyle w:val="ListParagraph"/>
      </w:pPr>
    </w:p>
    <w:p w:rsidR="001E54AD" w:rsidRDefault="001E54AD" w:rsidP="001E54AD">
      <w:pPr>
        <w:pStyle w:val="ListParagraph"/>
        <w:numPr>
          <w:ilvl w:val="0"/>
          <w:numId w:val="19"/>
        </w:numPr>
        <w:contextualSpacing w:val="0"/>
      </w:pPr>
      <w:r>
        <w:t>OGAPA will send their approval/disapproval via email to the OER Conference Grant Coordinator.</w:t>
      </w:r>
    </w:p>
    <w:p w:rsidR="001E54AD" w:rsidRDefault="001E54AD" w:rsidP="001E54AD">
      <w:pPr>
        <w:pStyle w:val="ListParagraph"/>
      </w:pPr>
    </w:p>
    <w:p w:rsidR="001E54AD" w:rsidRDefault="001E54AD" w:rsidP="001E54AD">
      <w:pPr>
        <w:pStyle w:val="ListParagraph"/>
        <w:numPr>
          <w:ilvl w:val="0"/>
          <w:numId w:val="19"/>
        </w:numPr>
        <w:contextualSpacing w:val="0"/>
      </w:pPr>
      <w:r>
        <w:t>OER Conference Grant Coordinator will notify the IC Grant Coordinator within each respective IC (along with a cc to the DDER) so that awards may be made (or not) depending upon outcome from OGAPA.</w:t>
      </w:r>
    </w:p>
    <w:p w:rsidR="001E54AD" w:rsidRDefault="001E54AD" w:rsidP="001E54AD">
      <w:pPr>
        <w:pStyle w:val="ListParagraph"/>
      </w:pPr>
    </w:p>
    <w:p w:rsidR="003D3825" w:rsidRDefault="003D3825" w:rsidP="003D3825">
      <w:r>
        <w:t>Note(s):</w:t>
      </w:r>
    </w:p>
    <w:p w:rsidR="003D3825" w:rsidRDefault="003D3825" w:rsidP="003D3825">
      <w:r>
        <w:t xml:space="preserve">ICs are required to provide the OER Grant Coordinator with the contact information for each respective IC Grant Coordinator representative to ensure information is submitted to the appropriate individual(s). </w:t>
      </w:r>
      <w:r w:rsidR="00207994">
        <w:t xml:space="preserve"> </w:t>
      </w:r>
      <w:r>
        <w:t xml:space="preserve">All approval requests will be issued by the IC Grant Coordinator (generally this is the EPMC Representative) </w:t>
      </w:r>
      <w:r w:rsidRPr="004529D8">
        <w:rPr>
          <w:u w:val="single"/>
        </w:rPr>
        <w:t>post</w:t>
      </w:r>
      <w:r w:rsidR="004529D8">
        <w:t xml:space="preserve"> </w:t>
      </w:r>
      <w:r w:rsidRPr="004529D8">
        <w:t>Advisory</w:t>
      </w:r>
      <w:r>
        <w:t xml:space="preserve"> Council Meetings.</w:t>
      </w:r>
    </w:p>
    <w:p w:rsidR="003F1351" w:rsidRDefault="003F1351" w:rsidP="003F1351">
      <w:pPr>
        <w:pStyle w:val="Heading1"/>
        <w:numPr>
          <w:ilvl w:val="0"/>
          <w:numId w:val="0"/>
        </w:numPr>
        <w:spacing w:before="0" w:after="0"/>
        <w:rPr>
          <w:b w:val="0"/>
          <w:sz w:val="24"/>
          <w:szCs w:val="24"/>
        </w:rPr>
      </w:pPr>
    </w:p>
    <w:p w:rsidR="001E0CCF" w:rsidRDefault="003F1351" w:rsidP="00AA7B96">
      <w:pPr>
        <w:pStyle w:val="Heading1"/>
        <w:numPr>
          <w:ilvl w:val="0"/>
          <w:numId w:val="0"/>
        </w:numPr>
        <w:spacing w:before="0" w:after="0"/>
        <w:ind w:left="-360"/>
        <w:rPr>
          <w:b w:val="0"/>
          <w:sz w:val="24"/>
          <w:szCs w:val="24"/>
          <w:u w:val="single"/>
        </w:rPr>
      </w:pPr>
      <w:r>
        <w:rPr>
          <w:b w:val="0"/>
          <w:sz w:val="24"/>
          <w:szCs w:val="24"/>
          <w:u w:val="single"/>
        </w:rPr>
        <w:t xml:space="preserve">C. </w:t>
      </w:r>
      <w:r w:rsidR="009B112A" w:rsidRPr="003F1351">
        <w:rPr>
          <w:b w:val="0"/>
          <w:sz w:val="24"/>
          <w:szCs w:val="24"/>
          <w:u w:val="single"/>
        </w:rPr>
        <w:t xml:space="preserve">Attendance at Conferences Not Sponsored, Planned or Hosted by </w:t>
      </w:r>
      <w:r w:rsidR="00F76E00">
        <w:rPr>
          <w:b w:val="0"/>
          <w:sz w:val="24"/>
          <w:szCs w:val="24"/>
          <w:u w:val="single"/>
        </w:rPr>
        <w:t>D</w:t>
      </w:r>
      <w:r w:rsidR="009B112A" w:rsidRPr="003F1351">
        <w:rPr>
          <w:b w:val="0"/>
          <w:sz w:val="24"/>
          <w:szCs w:val="24"/>
          <w:u w:val="single"/>
        </w:rPr>
        <w:t>HHS (Non-</w:t>
      </w:r>
      <w:r w:rsidR="00F76E00">
        <w:rPr>
          <w:b w:val="0"/>
          <w:sz w:val="24"/>
          <w:szCs w:val="24"/>
          <w:u w:val="single"/>
        </w:rPr>
        <w:t>D</w:t>
      </w:r>
      <w:r w:rsidR="009B112A" w:rsidRPr="003F1351">
        <w:rPr>
          <w:b w:val="0"/>
          <w:sz w:val="24"/>
          <w:szCs w:val="24"/>
          <w:u w:val="single"/>
        </w:rPr>
        <w:t>HHS Conference)</w:t>
      </w:r>
    </w:p>
    <w:p w:rsidR="00AA7B96" w:rsidRPr="00AA7B96" w:rsidRDefault="00AA7B96" w:rsidP="00AA7B96">
      <w:pPr>
        <w:pStyle w:val="Heading1"/>
        <w:numPr>
          <w:ilvl w:val="0"/>
          <w:numId w:val="0"/>
        </w:numPr>
        <w:spacing w:before="0" w:after="0"/>
        <w:ind w:left="-360"/>
        <w:rPr>
          <w:b w:val="0"/>
          <w:sz w:val="24"/>
          <w:szCs w:val="24"/>
          <w:u w:val="single"/>
        </w:rPr>
      </w:pPr>
    </w:p>
    <w:p w:rsidR="00FB452D" w:rsidRDefault="00FB452D" w:rsidP="00FB452D">
      <w:pPr>
        <w:keepNext/>
        <w:rPr>
          <w:color w:val="000000"/>
          <w:szCs w:val="24"/>
        </w:rPr>
      </w:pPr>
      <w:r>
        <w:rPr>
          <w:color w:val="000000"/>
          <w:szCs w:val="24"/>
        </w:rPr>
        <w:t xml:space="preserve">To ensure adherence with the new </w:t>
      </w:r>
      <w:r w:rsidR="00F76E00">
        <w:rPr>
          <w:color w:val="000000"/>
          <w:szCs w:val="24"/>
        </w:rPr>
        <w:t>D</w:t>
      </w:r>
      <w:r>
        <w:rPr>
          <w:color w:val="000000"/>
          <w:szCs w:val="24"/>
        </w:rPr>
        <w:t>HHS policies</w:t>
      </w:r>
      <w:r w:rsidR="00540224">
        <w:rPr>
          <w:color w:val="000000"/>
          <w:szCs w:val="24"/>
        </w:rPr>
        <w:t xml:space="preserve">, including the </w:t>
      </w:r>
      <w:hyperlink r:id="rId30" w:history="1">
        <w:r w:rsidR="00540224" w:rsidRPr="00585EB9">
          <w:rPr>
            <w:rStyle w:val="Hyperlink"/>
            <w:szCs w:val="24"/>
          </w:rPr>
          <w:t>DHHS Travel Manual</w:t>
        </w:r>
        <w:r w:rsidR="00207994">
          <w:rPr>
            <w:rStyle w:val="Hyperlink"/>
            <w:szCs w:val="24"/>
          </w:rPr>
          <w:t>,</w:t>
        </w:r>
        <w:r w:rsidR="00540224" w:rsidRPr="00585EB9">
          <w:rPr>
            <w:rStyle w:val="Hyperlink"/>
            <w:szCs w:val="24"/>
          </w:rPr>
          <w:t xml:space="preserve"> January 2012</w:t>
        </w:r>
      </w:hyperlink>
      <w:r w:rsidR="00540224">
        <w:rPr>
          <w:color w:val="000000"/>
          <w:szCs w:val="24"/>
        </w:rPr>
        <w:t xml:space="preserve">, </w:t>
      </w:r>
      <w:r>
        <w:rPr>
          <w:color w:val="000000"/>
          <w:szCs w:val="24"/>
        </w:rPr>
        <w:t xml:space="preserve">regarding largely attended conferences that are not sponsored, planned, or hosted by the NIH, ICs will notify the NIH Travel Office (OFM Travel) when there is a conference where the IC expects to send </w:t>
      </w:r>
      <w:r w:rsidR="005B2DF8">
        <w:rPr>
          <w:color w:val="000000"/>
          <w:szCs w:val="24"/>
        </w:rPr>
        <w:t xml:space="preserve">5 </w:t>
      </w:r>
      <w:r w:rsidR="00DE4E88">
        <w:rPr>
          <w:color w:val="000000"/>
          <w:szCs w:val="24"/>
        </w:rPr>
        <w:t xml:space="preserve">or </w:t>
      </w:r>
      <w:r w:rsidR="00187DCA">
        <w:rPr>
          <w:color w:val="000000"/>
          <w:szCs w:val="24"/>
        </w:rPr>
        <w:t>more attendees</w:t>
      </w:r>
      <w:r>
        <w:rPr>
          <w:color w:val="000000"/>
          <w:szCs w:val="24"/>
        </w:rPr>
        <w:t xml:space="preserve"> or where expenditures are expected to be $</w:t>
      </w:r>
      <w:r w:rsidR="005B2DF8">
        <w:rPr>
          <w:color w:val="000000"/>
          <w:szCs w:val="24"/>
        </w:rPr>
        <w:t>25</w:t>
      </w:r>
      <w:r>
        <w:rPr>
          <w:color w:val="000000"/>
          <w:szCs w:val="24"/>
        </w:rPr>
        <w:t xml:space="preserve">,000 or more for any single conference.  OFM Travel will accumulate attendance/cost information from all ICs and obtain NIH Senior Travel Official’s </w:t>
      </w:r>
      <w:r w:rsidR="009F53D1">
        <w:rPr>
          <w:color w:val="000000"/>
          <w:szCs w:val="24"/>
        </w:rPr>
        <w:t xml:space="preserve">(STO) </w:t>
      </w:r>
      <w:r>
        <w:rPr>
          <w:color w:val="000000"/>
          <w:szCs w:val="24"/>
        </w:rPr>
        <w:t>review/cleara</w:t>
      </w:r>
      <w:r w:rsidR="00AA7B96">
        <w:rPr>
          <w:color w:val="000000"/>
          <w:szCs w:val="24"/>
        </w:rPr>
        <w:t>nce and Departmental approval. </w:t>
      </w:r>
    </w:p>
    <w:p w:rsidR="00AA7B96" w:rsidRDefault="00AA7B96" w:rsidP="00FB452D">
      <w:pPr>
        <w:keepNext/>
        <w:rPr>
          <w:color w:val="000000"/>
          <w:szCs w:val="24"/>
        </w:rPr>
      </w:pPr>
    </w:p>
    <w:p w:rsidR="00FB452D" w:rsidRDefault="00BE3B67" w:rsidP="00A6631D">
      <w:pPr>
        <w:pStyle w:val="ListParagraph"/>
        <w:keepNext/>
        <w:numPr>
          <w:ilvl w:val="0"/>
          <w:numId w:val="18"/>
        </w:numPr>
        <w:rPr>
          <w:b/>
          <w:bCs/>
          <w:color w:val="000000"/>
          <w:sz w:val="20"/>
        </w:rPr>
      </w:pPr>
      <w:r>
        <w:rPr>
          <w:color w:val="000000"/>
        </w:rPr>
        <w:t xml:space="preserve">In addition to collecting input for the semi-annual conference projections, obtained from the ICs, and sent to the </w:t>
      </w:r>
      <w:r w:rsidR="00F72603">
        <w:rPr>
          <w:color w:val="000000"/>
        </w:rPr>
        <w:t>STO</w:t>
      </w:r>
      <w:r>
        <w:rPr>
          <w:color w:val="000000"/>
        </w:rPr>
        <w:t xml:space="preserve"> for review/clearance and the Department for approval; each IC will complete and submit a separate NIH Conference Attendance Request and Approval Form (Attachment C) to OFM Travel for STO review/clearance and Department approval when the number of attendees for the IC is expected to be 5 or more or where expenditures are expected to be $25,000 for any single conference.</w:t>
      </w:r>
    </w:p>
    <w:p w:rsidR="00FB452D" w:rsidRDefault="00FB452D" w:rsidP="00FB452D">
      <w:pPr>
        <w:pStyle w:val="ListParagraph"/>
        <w:keepNext/>
        <w:rPr>
          <w:color w:val="000000"/>
          <w:sz w:val="22"/>
          <w:szCs w:val="22"/>
        </w:rPr>
      </w:pPr>
    </w:p>
    <w:p w:rsidR="00FB452D" w:rsidRPr="00334092" w:rsidRDefault="00FB452D" w:rsidP="00334092">
      <w:pPr>
        <w:pStyle w:val="ListParagraph"/>
        <w:keepNext/>
        <w:numPr>
          <w:ilvl w:val="0"/>
          <w:numId w:val="17"/>
        </w:numPr>
        <w:rPr>
          <w:color w:val="000000"/>
        </w:rPr>
      </w:pPr>
      <w:r w:rsidRPr="00334092">
        <w:rPr>
          <w:color w:val="000000"/>
        </w:rPr>
        <w:t xml:space="preserve">For meetings that were not captured, for whatever reason, during  the semi-annual conference projections data calls,  the IC shall complete the NIH Conference Attendance Request and Approval Form and submit it to OFM Travel for STO review/clearance and Departmental approval.   Again, a completed form is required where the number of attendees is expected to be </w:t>
      </w:r>
      <w:r w:rsidR="00187DCA">
        <w:rPr>
          <w:color w:val="000000"/>
        </w:rPr>
        <w:t>5</w:t>
      </w:r>
      <w:r w:rsidR="00187DCA" w:rsidRPr="00334092">
        <w:rPr>
          <w:color w:val="000000"/>
        </w:rPr>
        <w:t xml:space="preserve"> </w:t>
      </w:r>
      <w:r w:rsidR="00DE4E88" w:rsidRPr="00334092">
        <w:rPr>
          <w:color w:val="000000"/>
        </w:rPr>
        <w:t xml:space="preserve">or more </w:t>
      </w:r>
      <w:r w:rsidRPr="00334092">
        <w:rPr>
          <w:color w:val="000000"/>
        </w:rPr>
        <w:t>for the IC or where expenditures are expected to be $</w:t>
      </w:r>
      <w:r w:rsidR="00187DCA">
        <w:rPr>
          <w:color w:val="000000"/>
        </w:rPr>
        <w:t>25,000</w:t>
      </w:r>
      <w:r w:rsidRPr="00334092">
        <w:rPr>
          <w:color w:val="000000"/>
        </w:rPr>
        <w:t xml:space="preserve"> or more for any single conference.</w:t>
      </w:r>
    </w:p>
    <w:p w:rsidR="00FB452D" w:rsidRDefault="00FB452D" w:rsidP="00FB452D">
      <w:pPr>
        <w:autoSpaceDN w:val="0"/>
        <w:rPr>
          <w:rFonts w:eastAsiaTheme="minorHAnsi"/>
          <w:color w:val="000000"/>
        </w:rPr>
      </w:pPr>
    </w:p>
    <w:p w:rsidR="00FB452D" w:rsidRDefault="00FB452D" w:rsidP="00FB452D">
      <w:pPr>
        <w:numPr>
          <w:ilvl w:val="1"/>
          <w:numId w:val="16"/>
        </w:numPr>
        <w:autoSpaceDN w:val="0"/>
        <w:rPr>
          <w:color w:val="000000"/>
        </w:rPr>
      </w:pPr>
      <w:r>
        <w:rPr>
          <w:color w:val="000000"/>
        </w:rPr>
        <w:t xml:space="preserve">In order to meet NIH and </w:t>
      </w:r>
      <w:r w:rsidR="00054EEC">
        <w:rPr>
          <w:color w:val="000000"/>
        </w:rPr>
        <w:t>DHHS</w:t>
      </w:r>
      <w:r>
        <w:rPr>
          <w:color w:val="000000"/>
        </w:rPr>
        <w:t xml:space="preserve"> Travel Office approval timelines and assure quick turnaround, IC requests shall be received at the </w:t>
      </w:r>
      <w:hyperlink r:id="rId31" w:history="1">
        <w:r w:rsidRPr="00857FB2">
          <w:rPr>
            <w:rStyle w:val="Hyperlink"/>
            <w:b/>
            <w:bCs/>
          </w:rPr>
          <w:t>OFM Travel</w:t>
        </w:r>
      </w:hyperlink>
      <w:r>
        <w:rPr>
          <w:color w:val="000000"/>
        </w:rPr>
        <w:t xml:space="preserve"> email box no later than 40 days before the deadline for earlier registration fees.</w:t>
      </w:r>
    </w:p>
    <w:p w:rsidR="00FB452D" w:rsidRDefault="00FB452D" w:rsidP="00FB452D">
      <w:pPr>
        <w:rPr>
          <w:rFonts w:eastAsiaTheme="minorHAnsi"/>
          <w:color w:val="000000"/>
        </w:rPr>
      </w:pPr>
      <w:r>
        <w:rPr>
          <w:color w:val="000000"/>
        </w:rPr>
        <w:lastRenderedPageBreak/>
        <w:t> </w:t>
      </w:r>
    </w:p>
    <w:p w:rsidR="00FB452D" w:rsidRDefault="00FB452D" w:rsidP="00FB452D">
      <w:pPr>
        <w:rPr>
          <w:color w:val="000000"/>
          <w:szCs w:val="24"/>
        </w:rPr>
      </w:pPr>
      <w:r>
        <w:rPr>
          <w:color w:val="000000"/>
          <w:szCs w:val="24"/>
        </w:rPr>
        <w:t>OFM Travel will inform the respective ICs when Departmental approval is received.</w:t>
      </w:r>
      <w:r w:rsidR="00A6631D">
        <w:rPr>
          <w:color w:val="000000"/>
          <w:szCs w:val="24"/>
        </w:rPr>
        <w:t> </w:t>
      </w:r>
    </w:p>
    <w:p w:rsidR="00FB452D" w:rsidRDefault="00FB452D" w:rsidP="00FB452D">
      <w:pPr>
        <w:pStyle w:val="ListParagraph"/>
        <w:rPr>
          <w:color w:val="000000"/>
          <w:szCs w:val="24"/>
        </w:rPr>
      </w:pPr>
    </w:p>
    <w:p w:rsidR="00FB452D" w:rsidRDefault="00FB452D" w:rsidP="00FB452D">
      <w:pPr>
        <w:rPr>
          <w:color w:val="000000"/>
          <w:szCs w:val="24"/>
        </w:rPr>
      </w:pPr>
      <w:r>
        <w:rPr>
          <w:color w:val="000000"/>
          <w:szCs w:val="24"/>
        </w:rPr>
        <w:t>No registrations or travel authorizations may be made until the projected conference attendance has been approved by the Deputy Secretary or Secretary as applicable.</w:t>
      </w:r>
    </w:p>
    <w:p w:rsidR="00FB452D" w:rsidRDefault="00FB452D" w:rsidP="00FB452D">
      <w:pPr>
        <w:rPr>
          <w:rFonts w:asciiTheme="minorHAnsi" w:hAnsiTheme="minorHAnsi" w:cstheme="minorBidi"/>
          <w:color w:val="1F497D" w:themeColor="dark2"/>
          <w:sz w:val="22"/>
          <w:szCs w:val="22"/>
        </w:rPr>
      </w:pPr>
    </w:p>
    <w:p w:rsidR="00FB452D" w:rsidRPr="00AA7B96" w:rsidRDefault="00FB452D" w:rsidP="00FB452D">
      <w:pPr>
        <w:rPr>
          <w:rStyle w:val="Emphasis"/>
          <w:b/>
          <w:u w:val="single"/>
        </w:rPr>
      </w:pPr>
      <w:r w:rsidRPr="00AA7B96">
        <w:rPr>
          <w:rStyle w:val="Emphasis"/>
          <w:b/>
          <w:u w:val="single"/>
        </w:rPr>
        <w:t>(Note:  We are in discussions with the Department on this section in an attempt to streamline the process by leveraging the semi-annual conference projections.  We will let you know if we receive any changes by the Department that warrant any changes in the above procedures.)</w:t>
      </w:r>
    </w:p>
    <w:p w:rsidR="003F1351" w:rsidRPr="00A15171" w:rsidRDefault="003F1351" w:rsidP="0018194D"/>
    <w:p w:rsidR="008572AA" w:rsidRPr="00AA7B96" w:rsidRDefault="003F1351" w:rsidP="0018194D">
      <w:pPr>
        <w:rPr>
          <w:u w:val="single"/>
        </w:rPr>
      </w:pPr>
      <w:r w:rsidRPr="00AA7B96">
        <w:rPr>
          <w:u w:val="single"/>
        </w:rPr>
        <w:t xml:space="preserve">D. </w:t>
      </w:r>
      <w:r w:rsidR="009B112A" w:rsidRPr="00AA7B96">
        <w:rPr>
          <w:u w:val="single"/>
        </w:rPr>
        <w:t>Meetings</w:t>
      </w:r>
    </w:p>
    <w:p w:rsidR="00AA7B96" w:rsidRDefault="00AA7B96" w:rsidP="0018194D"/>
    <w:p w:rsidR="009275EC" w:rsidRDefault="00B90703" w:rsidP="0018194D">
      <w:r>
        <w:t>Per DHHS policy, f</w:t>
      </w:r>
      <w:r w:rsidR="00C656E5" w:rsidRPr="00187DCA">
        <w:t>or all meetings</w:t>
      </w:r>
      <w:r w:rsidR="007A636A">
        <w:t xml:space="preserve"> and conferences</w:t>
      </w:r>
      <w:r w:rsidR="00C656E5" w:rsidRPr="00187DCA">
        <w:t xml:space="preserve"> </w:t>
      </w:r>
      <w:r w:rsidR="005B2DF8" w:rsidRPr="00187DCA">
        <w:t xml:space="preserve">where the total cost to </w:t>
      </w:r>
      <w:r w:rsidR="00177DD0" w:rsidRPr="00177DD0">
        <w:t>acquire</w:t>
      </w:r>
      <w:r w:rsidR="005B2DF8" w:rsidRPr="00187DCA">
        <w:t xml:space="preserve"> non-federal space exceeds $100,000, Attachment A shall be completed and s</w:t>
      </w:r>
      <w:r w:rsidR="00252FBE" w:rsidRPr="00187DCA">
        <w:t xml:space="preserve">ubmitted to the </w:t>
      </w:r>
      <w:r w:rsidR="007A636A">
        <w:t>ESP</w:t>
      </w:r>
      <w:r w:rsidR="00252FBE" w:rsidRPr="00187DCA">
        <w:t xml:space="preserve"> email box for approval by the DHHS Deputy Secretary.  Requests to acquire non-federal space exceeding $100,000 must be submitted to the ESP email box no later than 40 </w:t>
      </w:r>
      <w:r w:rsidR="00570793" w:rsidRPr="00187DCA">
        <w:t>calendar</w:t>
      </w:r>
      <w:r w:rsidR="00252FBE" w:rsidRPr="00187DCA">
        <w:t xml:space="preserve"> </w:t>
      </w:r>
      <w:r w:rsidR="007A636A">
        <w:t xml:space="preserve">days </w:t>
      </w:r>
      <w:r w:rsidR="00252FBE" w:rsidRPr="00187DCA">
        <w:t xml:space="preserve">prior to the day funds are to be </w:t>
      </w:r>
      <w:r w:rsidR="00570793" w:rsidRPr="00187DCA">
        <w:t>obligated.</w:t>
      </w:r>
    </w:p>
    <w:p w:rsidR="00636513" w:rsidRDefault="00636513" w:rsidP="0018194D"/>
    <w:p w:rsidR="00856054" w:rsidRPr="00950F69" w:rsidRDefault="00856054" w:rsidP="0018194D">
      <w:pPr>
        <w:rPr>
          <w:rStyle w:val="Strong"/>
        </w:rPr>
      </w:pPr>
      <w:r w:rsidRPr="00950F69">
        <w:rPr>
          <w:rStyle w:val="Strong"/>
        </w:rPr>
        <w:t xml:space="preserve">Approval Document Routing </w:t>
      </w:r>
    </w:p>
    <w:p w:rsidR="00636513" w:rsidRDefault="00636513" w:rsidP="0018194D"/>
    <w:p w:rsidR="00856054" w:rsidRPr="00662ED1" w:rsidRDefault="00856054" w:rsidP="0018194D">
      <w:r w:rsidRPr="00662ED1">
        <w:t xml:space="preserve">Above $100,000 Approval by </w:t>
      </w:r>
      <w:r>
        <w:t>DHHS</w:t>
      </w:r>
      <w:r w:rsidRPr="00662ED1">
        <w:t xml:space="preserve"> Deputy Secretary</w:t>
      </w:r>
    </w:p>
    <w:p w:rsidR="00856054" w:rsidRPr="009B112A" w:rsidRDefault="00856054" w:rsidP="00AA7B96">
      <w:pPr>
        <w:pStyle w:val="ListParagraph"/>
        <w:numPr>
          <w:ilvl w:val="0"/>
          <w:numId w:val="29"/>
        </w:numPr>
      </w:pPr>
      <w:r w:rsidRPr="00A15171">
        <w:t xml:space="preserve">IC submits </w:t>
      </w:r>
      <w:r>
        <w:t>NIH Conference / Meeting Approval request package including Attachment A (plus anything germane to the request for approval) to</w:t>
      </w:r>
      <w:r w:rsidRPr="00A15171">
        <w:t xml:space="preserve"> </w:t>
      </w:r>
      <w:r>
        <w:t>OALM</w:t>
      </w:r>
      <w:r w:rsidRPr="00A15171">
        <w:t xml:space="preserve"> via </w:t>
      </w:r>
      <w:hyperlink r:id="rId32" w:history="1">
        <w:r w:rsidRPr="00AA7B96">
          <w:rPr>
            <w:rFonts w:eastAsia="Arial Unicode MS"/>
            <w:u w:val="single"/>
          </w:rPr>
          <w:t>EfficientSpendingPolicy@NIH.gov</w:t>
        </w:r>
      </w:hyperlink>
    </w:p>
    <w:p w:rsidR="00856054" w:rsidRPr="00A15171" w:rsidRDefault="00856054" w:rsidP="00AA7B96">
      <w:pPr>
        <w:pStyle w:val="ListParagraph"/>
        <w:numPr>
          <w:ilvl w:val="0"/>
          <w:numId w:val="29"/>
        </w:numPr>
      </w:pPr>
      <w:r>
        <w:t>OALM</w:t>
      </w:r>
      <w:r w:rsidRPr="00A15171">
        <w:t xml:space="preserve"> </w:t>
      </w:r>
      <w:r w:rsidR="00636513">
        <w:t>obtains</w:t>
      </w:r>
      <w:r w:rsidRPr="00A15171">
        <w:t xml:space="preserve"> NIH Director</w:t>
      </w:r>
      <w:r>
        <w:t>’</w:t>
      </w:r>
      <w:r w:rsidRPr="00A15171">
        <w:t xml:space="preserve">s concurrence </w:t>
      </w:r>
    </w:p>
    <w:p w:rsidR="00856054" w:rsidRPr="00A15171" w:rsidRDefault="00856054" w:rsidP="00AA7B96">
      <w:pPr>
        <w:pStyle w:val="ListParagraph"/>
        <w:numPr>
          <w:ilvl w:val="0"/>
          <w:numId w:val="29"/>
        </w:numPr>
      </w:pPr>
      <w:r>
        <w:t>OALM</w:t>
      </w:r>
      <w:r w:rsidRPr="00A15171">
        <w:t xml:space="preserve"> </w:t>
      </w:r>
      <w:r>
        <w:t>s</w:t>
      </w:r>
      <w:r w:rsidRPr="00A15171">
        <w:t xml:space="preserve">ubmits </w:t>
      </w:r>
      <w:r>
        <w:t>NIH Conference / Meeting Approval Form</w:t>
      </w:r>
      <w:r w:rsidRPr="00A15171" w:rsidDel="00F35BEF">
        <w:t xml:space="preserve"> </w:t>
      </w:r>
      <w:r w:rsidRPr="00A15171">
        <w:t xml:space="preserve">to Deputy Secretary </w:t>
      </w:r>
      <w:r>
        <w:t>DHHS</w:t>
      </w:r>
      <w:r w:rsidRPr="00A15171">
        <w:t xml:space="preserve"> through SharePoint Site  </w:t>
      </w:r>
    </w:p>
    <w:p w:rsidR="00856054" w:rsidRPr="00A15171" w:rsidRDefault="00856054" w:rsidP="00AA7B96">
      <w:pPr>
        <w:pStyle w:val="ListParagraph"/>
        <w:numPr>
          <w:ilvl w:val="0"/>
          <w:numId w:val="29"/>
        </w:numPr>
      </w:pPr>
      <w:r>
        <w:t>OALM</w:t>
      </w:r>
      <w:r w:rsidRPr="00A15171">
        <w:t xml:space="preserve"> is notified of approval or disapprova</w:t>
      </w:r>
      <w:r>
        <w:t>l within 10 calendar days per DHHS policy</w:t>
      </w:r>
    </w:p>
    <w:p w:rsidR="00856054" w:rsidRPr="00A15171" w:rsidRDefault="00856054" w:rsidP="00AA7B96">
      <w:pPr>
        <w:pStyle w:val="ListParagraph"/>
        <w:numPr>
          <w:ilvl w:val="0"/>
          <w:numId w:val="29"/>
        </w:numPr>
      </w:pPr>
      <w:r>
        <w:t>OALM</w:t>
      </w:r>
      <w:r w:rsidRPr="00A15171">
        <w:t xml:space="preserve"> notifies IC via email</w:t>
      </w:r>
    </w:p>
    <w:p w:rsidR="00856054" w:rsidRDefault="00856054" w:rsidP="00AA7B96">
      <w:pPr>
        <w:pStyle w:val="ListParagraph"/>
        <w:numPr>
          <w:ilvl w:val="0"/>
          <w:numId w:val="29"/>
        </w:numPr>
      </w:pPr>
      <w:r w:rsidRPr="005F76D6">
        <w:t xml:space="preserve">NIH IC Point of Contact for </w:t>
      </w:r>
      <w:r>
        <w:t>C</w:t>
      </w:r>
      <w:r w:rsidRPr="005F76D6">
        <w:t xml:space="preserve">onference </w:t>
      </w:r>
      <w:r>
        <w:t>T</w:t>
      </w:r>
      <w:r w:rsidRPr="005F76D6">
        <w:t>racking</w:t>
      </w:r>
      <w:r>
        <w:t xml:space="preserve"> maintains IC records for reporting purposes</w:t>
      </w:r>
    </w:p>
    <w:p w:rsidR="006E4279" w:rsidRPr="003F1351" w:rsidRDefault="006E4279" w:rsidP="0018194D">
      <w:pPr>
        <w:rPr>
          <w:b/>
          <w:u w:val="single"/>
        </w:rPr>
      </w:pPr>
    </w:p>
    <w:p w:rsidR="00FA7EDB" w:rsidRDefault="00B90703" w:rsidP="00252FBE">
      <w:pPr>
        <w:rPr>
          <w:szCs w:val="24"/>
        </w:rPr>
      </w:pPr>
      <w:r>
        <w:rPr>
          <w:szCs w:val="24"/>
        </w:rPr>
        <w:t xml:space="preserve">In keeping with DHHS policy, </w:t>
      </w:r>
      <w:r w:rsidR="006E4279" w:rsidRPr="00A15171">
        <w:rPr>
          <w:szCs w:val="24"/>
        </w:rPr>
        <w:t>NIH shall conduct its meetings in space controlled by the Federal Government wherever practicable and cost effective.   Prior to acquisition of</w:t>
      </w:r>
      <w:r>
        <w:rPr>
          <w:szCs w:val="24"/>
        </w:rPr>
        <w:t xml:space="preserve"> any</w:t>
      </w:r>
      <w:r w:rsidR="006E4279" w:rsidRPr="00A15171">
        <w:rPr>
          <w:szCs w:val="24"/>
        </w:rPr>
        <w:t xml:space="preserve"> non-federally controlled space, NIH staff shall follow guidance provided in NIH Manual Chapter: </w:t>
      </w:r>
      <w:hyperlink r:id="rId33" w:history="1">
        <w:r w:rsidR="006E4279" w:rsidRPr="00636513">
          <w:rPr>
            <w:rStyle w:val="Hyperlink"/>
            <w:szCs w:val="24"/>
          </w:rPr>
          <w:t>26101-17-1 Acquisition of Temporary Commercial C</w:t>
        </w:r>
        <w:r w:rsidR="006E4279" w:rsidRPr="00636513">
          <w:rPr>
            <w:rStyle w:val="Hyperlink"/>
            <w:szCs w:val="24"/>
          </w:rPr>
          <w:t>o</w:t>
        </w:r>
        <w:r w:rsidR="006E4279" w:rsidRPr="00636513">
          <w:rPr>
            <w:rStyle w:val="Hyperlink"/>
            <w:szCs w:val="24"/>
          </w:rPr>
          <w:t>nference Space</w:t>
        </w:r>
      </w:hyperlink>
      <w:r w:rsidR="006E4279" w:rsidRPr="00A15171">
        <w:rPr>
          <w:szCs w:val="24"/>
        </w:rPr>
        <w:t xml:space="preserve"> before procuring non-federal meeting space.</w:t>
      </w:r>
      <w:r w:rsidR="00252FBE">
        <w:rPr>
          <w:szCs w:val="24"/>
        </w:rPr>
        <w:t xml:space="preserve">  Effective immediately, all requests for non-federal space must be approved by the IC Executive Officer on the form NIH 827-1.  This approval </w:t>
      </w:r>
      <w:r w:rsidR="00252FBE" w:rsidRPr="00AA7B96">
        <w:t>authority</w:t>
      </w:r>
      <w:r w:rsidR="00252FBE">
        <w:rPr>
          <w:szCs w:val="24"/>
        </w:rPr>
        <w:t xml:space="preserve"> is non-delegable.</w:t>
      </w:r>
      <w:r w:rsidR="006E4279" w:rsidRPr="00A15171">
        <w:rPr>
          <w:szCs w:val="24"/>
        </w:rPr>
        <w:t xml:space="preserve"> </w:t>
      </w:r>
      <w:r w:rsidR="00FC50D7">
        <w:rPr>
          <w:szCs w:val="24"/>
        </w:rPr>
        <w:t>Manual C</w:t>
      </w:r>
      <w:r w:rsidR="006E4279">
        <w:rPr>
          <w:szCs w:val="24"/>
        </w:rPr>
        <w:t>hapter</w:t>
      </w:r>
      <w:r w:rsidR="00FC50D7">
        <w:rPr>
          <w:szCs w:val="24"/>
        </w:rPr>
        <w:t xml:space="preserve"> 26101-17-1 </w:t>
      </w:r>
      <w:r w:rsidR="006E4279" w:rsidRPr="00A15171">
        <w:rPr>
          <w:szCs w:val="24"/>
        </w:rPr>
        <w:t xml:space="preserve">will be modified to </w:t>
      </w:r>
      <w:r w:rsidR="006E4279">
        <w:rPr>
          <w:szCs w:val="24"/>
        </w:rPr>
        <w:t xml:space="preserve">reflect </w:t>
      </w:r>
      <w:r>
        <w:rPr>
          <w:szCs w:val="24"/>
        </w:rPr>
        <w:t xml:space="preserve">these </w:t>
      </w:r>
      <w:r w:rsidR="006E4279">
        <w:rPr>
          <w:szCs w:val="24"/>
        </w:rPr>
        <w:t>changes</w:t>
      </w:r>
      <w:r w:rsidR="006E4279" w:rsidRPr="00A15171">
        <w:rPr>
          <w:szCs w:val="24"/>
        </w:rPr>
        <w:t>. </w:t>
      </w:r>
    </w:p>
    <w:sectPr w:rsidR="00FA7EDB" w:rsidSect="00F902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EE6" w:rsidRDefault="00A16EE6" w:rsidP="006E4279">
      <w:r>
        <w:separator/>
      </w:r>
    </w:p>
  </w:endnote>
  <w:endnote w:type="continuationSeparator" w:id="0">
    <w:p w:rsidR="00A16EE6" w:rsidRDefault="00A16EE6" w:rsidP="006E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34978"/>
      <w:docPartObj>
        <w:docPartGallery w:val="Page Numbers (Bottom of Page)"/>
        <w:docPartUnique/>
      </w:docPartObj>
    </w:sdtPr>
    <w:sdtEndPr/>
    <w:sdtContent>
      <w:p w:rsidR="00A16EE6" w:rsidRDefault="00A16EE6">
        <w:pPr>
          <w:pStyle w:val="Footer"/>
          <w:jc w:val="center"/>
        </w:pPr>
        <w:r>
          <w:fldChar w:fldCharType="begin"/>
        </w:r>
        <w:r>
          <w:instrText xml:space="preserve"> PAGE   \* MERGEFORMAT </w:instrText>
        </w:r>
        <w:r>
          <w:fldChar w:fldCharType="separate"/>
        </w:r>
        <w:r w:rsidR="00F66BE6">
          <w:rPr>
            <w:noProof/>
          </w:rPr>
          <w:t>i</w:t>
        </w:r>
        <w:r>
          <w:rPr>
            <w:noProof/>
          </w:rPr>
          <w:fldChar w:fldCharType="end"/>
        </w:r>
      </w:p>
    </w:sdtContent>
  </w:sdt>
  <w:p w:rsidR="00A16EE6" w:rsidRDefault="00A16EE6" w:rsidP="007F3AD1">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EE6" w:rsidRDefault="00A16EE6" w:rsidP="006E4279">
      <w:r>
        <w:separator/>
      </w:r>
    </w:p>
  </w:footnote>
  <w:footnote w:type="continuationSeparator" w:id="0">
    <w:p w:rsidR="00A16EE6" w:rsidRDefault="00A16EE6" w:rsidP="006E4279">
      <w:r>
        <w:continuationSeparator/>
      </w:r>
    </w:p>
  </w:footnote>
  <w:footnote w:id="1">
    <w:p w:rsidR="00A16EE6" w:rsidRDefault="00A16EE6" w:rsidP="00751E1B">
      <w:r>
        <w:rPr>
          <w:rStyle w:val="FootnoteReference"/>
        </w:rPr>
        <w:footnoteRef/>
      </w:r>
      <w:r>
        <w:t xml:space="preserve"> Per further clarification from the DHHS Office of General Counsel, royalty funds are also included. </w:t>
      </w:r>
    </w:p>
    <w:p w:rsidR="00A16EE6" w:rsidRDefault="00A16EE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922"/>
    <w:multiLevelType w:val="hybridMultilevel"/>
    <w:tmpl w:val="6ED20E6C"/>
    <w:lvl w:ilvl="0" w:tplc="67CC77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F64785"/>
    <w:multiLevelType w:val="hybridMultilevel"/>
    <w:tmpl w:val="DDB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96F26"/>
    <w:multiLevelType w:val="hybridMultilevel"/>
    <w:tmpl w:val="E5FA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70F25"/>
    <w:multiLevelType w:val="hybridMultilevel"/>
    <w:tmpl w:val="CDF82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11C83"/>
    <w:multiLevelType w:val="multilevel"/>
    <w:tmpl w:val="2B8E2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7444DC4"/>
    <w:multiLevelType w:val="hybridMultilevel"/>
    <w:tmpl w:val="96407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77CFE"/>
    <w:multiLevelType w:val="hybridMultilevel"/>
    <w:tmpl w:val="F65E2152"/>
    <w:lvl w:ilvl="0" w:tplc="BA18BE22">
      <w:start w:val="1"/>
      <w:numFmt w:val="lowerLetter"/>
      <w:lvlText w:val="%1."/>
      <w:lvlJc w:val="left"/>
      <w:pPr>
        <w:ind w:left="396" w:hanging="360"/>
      </w:pPr>
      <w:rPr>
        <w:rFonts w:ascii="Calibri" w:eastAsia="Times New Roman" w:hAnsi="Calibri" w:cs="Arial"/>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7">
    <w:nsid w:val="1EE60670"/>
    <w:multiLevelType w:val="hybridMultilevel"/>
    <w:tmpl w:val="BAE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93302"/>
    <w:multiLevelType w:val="hybridMultilevel"/>
    <w:tmpl w:val="1D84B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F28B8"/>
    <w:multiLevelType w:val="hybridMultilevel"/>
    <w:tmpl w:val="E30A9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A027D"/>
    <w:multiLevelType w:val="hybridMultilevel"/>
    <w:tmpl w:val="05A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57C9A"/>
    <w:multiLevelType w:val="hybridMultilevel"/>
    <w:tmpl w:val="062628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F30A7"/>
    <w:multiLevelType w:val="hybridMultilevel"/>
    <w:tmpl w:val="1F44B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F6F13"/>
    <w:multiLevelType w:val="hybridMultilevel"/>
    <w:tmpl w:val="F802F1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47F94DAF"/>
    <w:multiLevelType w:val="multilevel"/>
    <w:tmpl w:val="DC94A106"/>
    <w:lvl w:ilvl="0">
      <w:start w:val="1"/>
      <w:numFmt w:val="upperRoman"/>
      <w:pStyle w:val="Heading1"/>
      <w:lvlText w:val="%1."/>
      <w:lvlJc w:val="left"/>
      <w:pPr>
        <w:ind w:left="0" w:firstLine="0"/>
      </w:pPr>
      <w:rPr>
        <w:rFonts w:hint="default"/>
        <w:u w:val="none"/>
      </w:rPr>
    </w:lvl>
    <w:lvl w:ilvl="1">
      <w:start w:val="1"/>
      <w:numFmt w:val="upperLetter"/>
      <w:pStyle w:val="Heading2"/>
      <w:lvlText w:val="%2."/>
      <w:lvlJc w:val="left"/>
      <w:pPr>
        <w:ind w:left="720" w:firstLine="0"/>
      </w:pPr>
      <w:rPr>
        <w:rFonts w:hint="default"/>
        <w:color w:val="auto"/>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nsid w:val="49AF7F56"/>
    <w:multiLevelType w:val="hybridMultilevel"/>
    <w:tmpl w:val="7DBAC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34FAB"/>
    <w:multiLevelType w:val="hybridMultilevel"/>
    <w:tmpl w:val="996ADF96"/>
    <w:lvl w:ilvl="0" w:tplc="4054443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D6444"/>
    <w:multiLevelType w:val="hybridMultilevel"/>
    <w:tmpl w:val="E5FA55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983378"/>
    <w:multiLevelType w:val="hybridMultilevel"/>
    <w:tmpl w:val="EDAC6C00"/>
    <w:lvl w:ilvl="0" w:tplc="5450F26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E6DDE"/>
    <w:multiLevelType w:val="hybridMultilevel"/>
    <w:tmpl w:val="7DBAC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AD0067"/>
    <w:multiLevelType w:val="multilevel"/>
    <w:tmpl w:val="6186B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567C28"/>
    <w:multiLevelType w:val="hybridMultilevel"/>
    <w:tmpl w:val="54CA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24B4E"/>
    <w:multiLevelType w:val="hybridMultilevel"/>
    <w:tmpl w:val="BAE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05981"/>
    <w:multiLevelType w:val="hybridMultilevel"/>
    <w:tmpl w:val="BAEE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9662B"/>
    <w:multiLevelType w:val="hybridMultilevel"/>
    <w:tmpl w:val="7DBAC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231EE"/>
    <w:multiLevelType w:val="hybridMultilevel"/>
    <w:tmpl w:val="9730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12"/>
  </w:num>
  <w:num w:numId="5">
    <w:abstractNumId w:val="2"/>
  </w:num>
  <w:num w:numId="6">
    <w:abstractNumId w:val="19"/>
  </w:num>
  <w:num w:numId="7">
    <w:abstractNumId w:val="24"/>
  </w:num>
  <w:num w:numId="8">
    <w:abstractNumId w:val="0"/>
  </w:num>
  <w:num w:numId="9">
    <w:abstractNumId w:val="14"/>
  </w:num>
  <w:num w:numId="10">
    <w:abstractNumId w:val="14"/>
  </w:num>
  <w:num w:numId="11">
    <w:abstractNumId w:val="6"/>
  </w:num>
  <w:num w:numId="12">
    <w:abstractNumId w:val="14"/>
  </w:num>
  <w:num w:numId="13">
    <w:abstractNumId w:val="1"/>
  </w:num>
  <w:num w:numId="14">
    <w:abstractNumId w:val="23"/>
  </w:num>
  <w:num w:numId="15">
    <w:abstractNumId w:val="22"/>
  </w:num>
  <w:num w:numId="1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7"/>
  </w:num>
  <w:num w:numId="20">
    <w:abstractNumId w:val="9"/>
  </w:num>
  <w:num w:numId="21">
    <w:abstractNumId w:val="11"/>
  </w:num>
  <w:num w:numId="22">
    <w:abstractNumId w:val="3"/>
  </w:num>
  <w:num w:numId="23">
    <w:abstractNumId w:val="18"/>
  </w:num>
  <w:num w:numId="24">
    <w:abstractNumId w:val="15"/>
  </w:num>
  <w:num w:numId="25">
    <w:abstractNumId w:val="17"/>
  </w:num>
  <w:num w:numId="26">
    <w:abstractNumId w:val="21"/>
  </w:num>
  <w:num w:numId="27">
    <w:abstractNumId w:val="5"/>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2A"/>
    <w:rsid w:val="00010375"/>
    <w:rsid w:val="00012528"/>
    <w:rsid w:val="000360B1"/>
    <w:rsid w:val="00054EEC"/>
    <w:rsid w:val="00067631"/>
    <w:rsid w:val="000C515F"/>
    <w:rsid w:val="000E18D5"/>
    <w:rsid w:val="00104362"/>
    <w:rsid w:val="00133F3C"/>
    <w:rsid w:val="00162A34"/>
    <w:rsid w:val="00177DD0"/>
    <w:rsid w:val="0018194D"/>
    <w:rsid w:val="00187DCA"/>
    <w:rsid w:val="0019018E"/>
    <w:rsid w:val="001A2833"/>
    <w:rsid w:val="001C07D2"/>
    <w:rsid w:val="001D47A7"/>
    <w:rsid w:val="001D6953"/>
    <w:rsid w:val="001E0CCF"/>
    <w:rsid w:val="001E46EF"/>
    <w:rsid w:val="001E54AD"/>
    <w:rsid w:val="001F405A"/>
    <w:rsid w:val="00207994"/>
    <w:rsid w:val="00222EC9"/>
    <w:rsid w:val="00240247"/>
    <w:rsid w:val="0025079B"/>
    <w:rsid w:val="00252FBE"/>
    <w:rsid w:val="002764CF"/>
    <w:rsid w:val="0028286E"/>
    <w:rsid w:val="00295F09"/>
    <w:rsid w:val="002B16B2"/>
    <w:rsid w:val="0030450F"/>
    <w:rsid w:val="00334092"/>
    <w:rsid w:val="00337253"/>
    <w:rsid w:val="00344353"/>
    <w:rsid w:val="0034468E"/>
    <w:rsid w:val="003454C4"/>
    <w:rsid w:val="00347ADB"/>
    <w:rsid w:val="00355251"/>
    <w:rsid w:val="00365118"/>
    <w:rsid w:val="003D3825"/>
    <w:rsid w:val="003F1351"/>
    <w:rsid w:val="004529D8"/>
    <w:rsid w:val="00467415"/>
    <w:rsid w:val="00481CD5"/>
    <w:rsid w:val="00492D9C"/>
    <w:rsid w:val="00495637"/>
    <w:rsid w:val="004957C2"/>
    <w:rsid w:val="004C187D"/>
    <w:rsid w:val="004C464A"/>
    <w:rsid w:val="004D6E40"/>
    <w:rsid w:val="004F1C41"/>
    <w:rsid w:val="004F7AC4"/>
    <w:rsid w:val="00540224"/>
    <w:rsid w:val="00541550"/>
    <w:rsid w:val="00545A1C"/>
    <w:rsid w:val="00570793"/>
    <w:rsid w:val="005847BC"/>
    <w:rsid w:val="00585EB9"/>
    <w:rsid w:val="005B2DF8"/>
    <w:rsid w:val="005C74D9"/>
    <w:rsid w:val="005F54F7"/>
    <w:rsid w:val="00634B5F"/>
    <w:rsid w:val="00636513"/>
    <w:rsid w:val="00636D43"/>
    <w:rsid w:val="00662ED1"/>
    <w:rsid w:val="006E4279"/>
    <w:rsid w:val="0073690E"/>
    <w:rsid w:val="00736AEF"/>
    <w:rsid w:val="00751E1B"/>
    <w:rsid w:val="007559D0"/>
    <w:rsid w:val="007A46A7"/>
    <w:rsid w:val="007A636A"/>
    <w:rsid w:val="007C1C3B"/>
    <w:rsid w:val="007D1EC8"/>
    <w:rsid w:val="007F3AD1"/>
    <w:rsid w:val="007F511C"/>
    <w:rsid w:val="00816FCE"/>
    <w:rsid w:val="00856054"/>
    <w:rsid w:val="008572AA"/>
    <w:rsid w:val="00857FB2"/>
    <w:rsid w:val="00875C19"/>
    <w:rsid w:val="00875CE8"/>
    <w:rsid w:val="0088459B"/>
    <w:rsid w:val="008A0BD3"/>
    <w:rsid w:val="008C1350"/>
    <w:rsid w:val="008E1728"/>
    <w:rsid w:val="008E79CC"/>
    <w:rsid w:val="008F0845"/>
    <w:rsid w:val="0092635A"/>
    <w:rsid w:val="009275EC"/>
    <w:rsid w:val="009470FC"/>
    <w:rsid w:val="00950F69"/>
    <w:rsid w:val="009554D3"/>
    <w:rsid w:val="009858B2"/>
    <w:rsid w:val="009B112A"/>
    <w:rsid w:val="009B2ECD"/>
    <w:rsid w:val="009D6997"/>
    <w:rsid w:val="009E6242"/>
    <w:rsid w:val="009F53D1"/>
    <w:rsid w:val="00A03A4F"/>
    <w:rsid w:val="00A069DB"/>
    <w:rsid w:val="00A16EE6"/>
    <w:rsid w:val="00A2696F"/>
    <w:rsid w:val="00A301E8"/>
    <w:rsid w:val="00A50565"/>
    <w:rsid w:val="00A535F6"/>
    <w:rsid w:val="00A55334"/>
    <w:rsid w:val="00A6631D"/>
    <w:rsid w:val="00A67681"/>
    <w:rsid w:val="00A769E1"/>
    <w:rsid w:val="00AA7B96"/>
    <w:rsid w:val="00AF77E2"/>
    <w:rsid w:val="00B33668"/>
    <w:rsid w:val="00B51A56"/>
    <w:rsid w:val="00B8064B"/>
    <w:rsid w:val="00B86D91"/>
    <w:rsid w:val="00B90703"/>
    <w:rsid w:val="00BE3B67"/>
    <w:rsid w:val="00C656E5"/>
    <w:rsid w:val="00CB2414"/>
    <w:rsid w:val="00CF53B6"/>
    <w:rsid w:val="00D24E08"/>
    <w:rsid w:val="00D263FB"/>
    <w:rsid w:val="00D41039"/>
    <w:rsid w:val="00D47FBE"/>
    <w:rsid w:val="00D63415"/>
    <w:rsid w:val="00D84556"/>
    <w:rsid w:val="00D87170"/>
    <w:rsid w:val="00D96DD1"/>
    <w:rsid w:val="00DB215E"/>
    <w:rsid w:val="00DC4F02"/>
    <w:rsid w:val="00DC4F2F"/>
    <w:rsid w:val="00DC6B3B"/>
    <w:rsid w:val="00DE359A"/>
    <w:rsid w:val="00DE4E88"/>
    <w:rsid w:val="00E03477"/>
    <w:rsid w:val="00E14BF7"/>
    <w:rsid w:val="00E35FC7"/>
    <w:rsid w:val="00E65E3E"/>
    <w:rsid w:val="00E77BFA"/>
    <w:rsid w:val="00E91DBE"/>
    <w:rsid w:val="00EA0195"/>
    <w:rsid w:val="00EC4193"/>
    <w:rsid w:val="00ED2BEE"/>
    <w:rsid w:val="00ED3346"/>
    <w:rsid w:val="00F2768D"/>
    <w:rsid w:val="00F35BEF"/>
    <w:rsid w:val="00F659A7"/>
    <w:rsid w:val="00F66BE6"/>
    <w:rsid w:val="00F72603"/>
    <w:rsid w:val="00F76E00"/>
    <w:rsid w:val="00F90230"/>
    <w:rsid w:val="00FA7EDB"/>
    <w:rsid w:val="00FB452D"/>
    <w:rsid w:val="00FB7C2D"/>
    <w:rsid w:val="00FC50D7"/>
    <w:rsid w:val="00FD5C2B"/>
    <w:rsid w:val="00FF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2A"/>
    <w:rPr>
      <w:rFonts w:ascii="Times New Roman" w:eastAsia="Times New Roman" w:hAnsi="Times New Roman"/>
      <w:sz w:val="24"/>
    </w:rPr>
  </w:style>
  <w:style w:type="paragraph" w:styleId="Heading1">
    <w:name w:val="heading 1"/>
    <w:basedOn w:val="Normal"/>
    <w:link w:val="Heading1Char"/>
    <w:uiPriority w:val="9"/>
    <w:qFormat/>
    <w:rsid w:val="009B112A"/>
    <w:pPr>
      <w:numPr>
        <w:numId w:val="1"/>
      </w:numPr>
      <w:spacing w:before="120" w:after="120"/>
      <w:outlineLvl w:val="0"/>
    </w:pPr>
    <w:rPr>
      <w:b/>
      <w:bCs/>
      <w:kern w:val="36"/>
      <w:sz w:val="38"/>
      <w:szCs w:val="38"/>
    </w:rPr>
  </w:style>
  <w:style w:type="paragraph" w:styleId="Heading2">
    <w:name w:val="heading 2"/>
    <w:basedOn w:val="Normal"/>
    <w:next w:val="Normal"/>
    <w:link w:val="Heading2Char"/>
    <w:unhideWhenUsed/>
    <w:qFormat/>
    <w:rsid w:val="009B112A"/>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9B112A"/>
    <w:pPr>
      <w:keepNext/>
      <w:widowControl w:val="0"/>
      <w:numPr>
        <w:ilvl w:val="2"/>
        <w:numId w:val="1"/>
      </w:numPr>
      <w:suppressAutoHyphens/>
      <w:jc w:val="center"/>
      <w:outlineLvl w:val="2"/>
    </w:pPr>
    <w:rPr>
      <w:rFonts w:eastAsia="Arial Unicode MS"/>
      <w:b/>
      <w:szCs w:val="24"/>
      <w:lang w:eastAsia="en-PH"/>
    </w:rPr>
  </w:style>
  <w:style w:type="paragraph" w:styleId="Heading4">
    <w:name w:val="heading 4"/>
    <w:basedOn w:val="Normal"/>
    <w:next w:val="Normal"/>
    <w:link w:val="Heading4Char"/>
    <w:unhideWhenUsed/>
    <w:qFormat/>
    <w:rsid w:val="009B112A"/>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B112A"/>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9B112A"/>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9B112A"/>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B112A"/>
    <w:pPr>
      <w:keepNext/>
      <w:keepLines/>
      <w:numPr>
        <w:ilvl w:val="7"/>
        <w:numId w:val="1"/>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9B112A"/>
    <w:pPr>
      <w:keepNext/>
      <w:keepLines/>
      <w:numPr>
        <w:ilvl w:val="8"/>
        <w:numId w:val="1"/>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2A"/>
    <w:rPr>
      <w:rFonts w:ascii="Times New Roman" w:eastAsia="Times New Roman" w:hAnsi="Times New Roman" w:cs="Times New Roman"/>
      <w:b/>
      <w:bCs/>
      <w:kern w:val="36"/>
      <w:sz w:val="38"/>
      <w:szCs w:val="38"/>
    </w:rPr>
  </w:style>
  <w:style w:type="character" w:customStyle="1" w:styleId="Heading2Char">
    <w:name w:val="Heading 2 Char"/>
    <w:basedOn w:val="DefaultParagraphFont"/>
    <w:link w:val="Heading2"/>
    <w:rsid w:val="009B112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B112A"/>
    <w:rPr>
      <w:rFonts w:ascii="Times New Roman" w:eastAsia="Arial Unicode MS" w:hAnsi="Times New Roman" w:cs="Times New Roman"/>
      <w:b/>
      <w:sz w:val="24"/>
      <w:szCs w:val="24"/>
      <w:lang w:eastAsia="en-PH"/>
    </w:rPr>
  </w:style>
  <w:style w:type="character" w:customStyle="1" w:styleId="Heading4Char">
    <w:name w:val="Heading 4 Char"/>
    <w:basedOn w:val="DefaultParagraphFont"/>
    <w:link w:val="Heading4"/>
    <w:rsid w:val="009B112A"/>
    <w:rPr>
      <w:rFonts w:ascii="Cambria" w:eastAsia="Times New Roman" w:hAnsi="Cambria" w:cs="Times New Roman"/>
      <w:b/>
      <w:bCs/>
      <w:i/>
      <w:iCs/>
      <w:color w:val="4F81BD"/>
      <w:sz w:val="24"/>
      <w:szCs w:val="20"/>
    </w:rPr>
  </w:style>
  <w:style w:type="character" w:customStyle="1" w:styleId="Heading5Char">
    <w:name w:val="Heading 5 Char"/>
    <w:basedOn w:val="DefaultParagraphFont"/>
    <w:link w:val="Heading5"/>
    <w:semiHidden/>
    <w:rsid w:val="009B112A"/>
    <w:rPr>
      <w:rFonts w:ascii="Cambria" w:eastAsia="Times New Roman" w:hAnsi="Cambria" w:cs="Times New Roman"/>
      <w:color w:val="243F60"/>
      <w:sz w:val="24"/>
      <w:szCs w:val="20"/>
    </w:rPr>
  </w:style>
  <w:style w:type="character" w:customStyle="1" w:styleId="Heading6Char">
    <w:name w:val="Heading 6 Char"/>
    <w:basedOn w:val="DefaultParagraphFont"/>
    <w:link w:val="Heading6"/>
    <w:semiHidden/>
    <w:rsid w:val="009B112A"/>
    <w:rPr>
      <w:rFonts w:ascii="Cambria" w:eastAsia="Times New Roman" w:hAnsi="Cambria" w:cs="Times New Roman"/>
      <w:i/>
      <w:iCs/>
      <w:color w:val="243F60"/>
      <w:sz w:val="24"/>
      <w:szCs w:val="20"/>
    </w:rPr>
  </w:style>
  <w:style w:type="character" w:customStyle="1" w:styleId="Heading7Char">
    <w:name w:val="Heading 7 Char"/>
    <w:basedOn w:val="DefaultParagraphFont"/>
    <w:link w:val="Heading7"/>
    <w:semiHidden/>
    <w:rsid w:val="009B112A"/>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semiHidden/>
    <w:rsid w:val="009B112A"/>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9B112A"/>
    <w:rPr>
      <w:rFonts w:ascii="Cambria" w:eastAsia="Times New Roman" w:hAnsi="Cambria" w:cs="Times New Roman"/>
      <w:i/>
      <w:iCs/>
      <w:color w:val="404040"/>
      <w:sz w:val="20"/>
      <w:szCs w:val="20"/>
    </w:rPr>
  </w:style>
  <w:style w:type="paragraph" w:styleId="Header">
    <w:name w:val="header"/>
    <w:basedOn w:val="Normal"/>
    <w:link w:val="HeaderChar"/>
    <w:uiPriority w:val="99"/>
    <w:rsid w:val="009B112A"/>
    <w:pPr>
      <w:tabs>
        <w:tab w:val="center" w:pos="4320"/>
        <w:tab w:val="right" w:pos="8640"/>
      </w:tabs>
    </w:pPr>
  </w:style>
  <w:style w:type="character" w:customStyle="1" w:styleId="HeaderChar">
    <w:name w:val="Header Char"/>
    <w:basedOn w:val="DefaultParagraphFont"/>
    <w:link w:val="Header"/>
    <w:uiPriority w:val="99"/>
    <w:rsid w:val="009B112A"/>
    <w:rPr>
      <w:rFonts w:ascii="Times New Roman" w:eastAsia="Times New Roman" w:hAnsi="Times New Roman" w:cs="Times New Roman"/>
      <w:sz w:val="24"/>
      <w:szCs w:val="20"/>
    </w:rPr>
  </w:style>
  <w:style w:type="character" w:styleId="Hyperlink">
    <w:name w:val="Hyperlink"/>
    <w:uiPriority w:val="99"/>
    <w:unhideWhenUsed/>
    <w:rsid w:val="009B112A"/>
    <w:rPr>
      <w:color w:val="0000FF"/>
      <w:u w:val="single"/>
    </w:rPr>
  </w:style>
  <w:style w:type="paragraph" w:styleId="BalloonText">
    <w:name w:val="Balloon Text"/>
    <w:basedOn w:val="Normal"/>
    <w:link w:val="BalloonTextChar"/>
    <w:uiPriority w:val="99"/>
    <w:semiHidden/>
    <w:unhideWhenUsed/>
    <w:rsid w:val="0073690E"/>
    <w:rPr>
      <w:rFonts w:ascii="Tahoma" w:hAnsi="Tahoma" w:cs="Tahoma"/>
      <w:sz w:val="16"/>
      <w:szCs w:val="16"/>
    </w:rPr>
  </w:style>
  <w:style w:type="character" w:customStyle="1" w:styleId="BalloonTextChar">
    <w:name w:val="Balloon Text Char"/>
    <w:basedOn w:val="DefaultParagraphFont"/>
    <w:link w:val="BalloonText"/>
    <w:uiPriority w:val="99"/>
    <w:semiHidden/>
    <w:rsid w:val="0073690E"/>
    <w:rPr>
      <w:rFonts w:ascii="Tahoma" w:eastAsia="Times New Roman" w:hAnsi="Tahoma" w:cs="Tahoma"/>
      <w:sz w:val="16"/>
      <w:szCs w:val="16"/>
    </w:rPr>
  </w:style>
  <w:style w:type="paragraph" w:styleId="ListParagraph">
    <w:name w:val="List Paragraph"/>
    <w:basedOn w:val="Normal"/>
    <w:uiPriority w:val="34"/>
    <w:qFormat/>
    <w:rsid w:val="006E4279"/>
    <w:pPr>
      <w:ind w:left="720"/>
      <w:contextualSpacing/>
    </w:pPr>
  </w:style>
  <w:style w:type="paragraph" w:styleId="FootnoteText">
    <w:name w:val="footnote text"/>
    <w:basedOn w:val="Normal"/>
    <w:link w:val="FootnoteTextChar"/>
    <w:uiPriority w:val="99"/>
    <w:rsid w:val="006E4279"/>
    <w:rPr>
      <w:sz w:val="20"/>
    </w:rPr>
  </w:style>
  <w:style w:type="character" w:customStyle="1" w:styleId="FootnoteTextChar">
    <w:name w:val="Footnote Text Char"/>
    <w:basedOn w:val="DefaultParagraphFont"/>
    <w:link w:val="FootnoteText"/>
    <w:uiPriority w:val="99"/>
    <w:rsid w:val="006E427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E4279"/>
    <w:rPr>
      <w:vertAlign w:val="superscript"/>
    </w:rPr>
  </w:style>
  <w:style w:type="paragraph" w:styleId="NormalWeb">
    <w:name w:val="Normal (Web)"/>
    <w:basedOn w:val="Normal"/>
    <w:uiPriority w:val="99"/>
    <w:unhideWhenUsed/>
    <w:rsid w:val="006E4279"/>
    <w:pPr>
      <w:spacing w:before="120" w:after="120"/>
    </w:pPr>
    <w:rPr>
      <w:szCs w:val="24"/>
    </w:rPr>
  </w:style>
  <w:style w:type="character" w:styleId="FollowedHyperlink">
    <w:name w:val="FollowedHyperlink"/>
    <w:basedOn w:val="DefaultParagraphFont"/>
    <w:uiPriority w:val="99"/>
    <w:semiHidden/>
    <w:unhideWhenUsed/>
    <w:rsid w:val="00FC50D7"/>
    <w:rPr>
      <w:color w:val="800080"/>
      <w:u w:val="single"/>
    </w:rPr>
  </w:style>
  <w:style w:type="paragraph" w:styleId="PlainText">
    <w:name w:val="Plain Text"/>
    <w:basedOn w:val="Normal"/>
    <w:link w:val="PlainTextChar"/>
    <w:uiPriority w:val="99"/>
    <w:unhideWhenUsed/>
    <w:rsid w:val="0034468E"/>
    <w:rPr>
      <w:rFonts w:ascii="Arial" w:eastAsia="Calibri" w:hAnsi="Arial" w:cs="Arial"/>
      <w:sz w:val="20"/>
    </w:rPr>
  </w:style>
  <w:style w:type="character" w:customStyle="1" w:styleId="PlainTextChar">
    <w:name w:val="Plain Text Char"/>
    <w:basedOn w:val="DefaultParagraphFont"/>
    <w:link w:val="PlainText"/>
    <w:uiPriority w:val="99"/>
    <w:rsid w:val="0034468E"/>
    <w:rPr>
      <w:rFonts w:ascii="Arial" w:hAnsi="Arial" w:cs="Arial"/>
      <w:sz w:val="20"/>
      <w:szCs w:val="20"/>
    </w:rPr>
  </w:style>
  <w:style w:type="character" w:styleId="CommentReference">
    <w:name w:val="annotation reference"/>
    <w:basedOn w:val="DefaultParagraphFont"/>
    <w:uiPriority w:val="99"/>
    <w:semiHidden/>
    <w:unhideWhenUsed/>
    <w:rsid w:val="00067631"/>
    <w:rPr>
      <w:sz w:val="16"/>
      <w:szCs w:val="16"/>
    </w:rPr>
  </w:style>
  <w:style w:type="paragraph" w:styleId="CommentText">
    <w:name w:val="annotation text"/>
    <w:basedOn w:val="Normal"/>
    <w:link w:val="CommentTextChar"/>
    <w:uiPriority w:val="99"/>
    <w:semiHidden/>
    <w:unhideWhenUsed/>
    <w:rsid w:val="00067631"/>
    <w:rPr>
      <w:sz w:val="20"/>
    </w:rPr>
  </w:style>
  <w:style w:type="character" w:customStyle="1" w:styleId="CommentTextChar">
    <w:name w:val="Comment Text Char"/>
    <w:basedOn w:val="DefaultParagraphFont"/>
    <w:link w:val="CommentText"/>
    <w:uiPriority w:val="99"/>
    <w:semiHidden/>
    <w:rsid w:val="000676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631"/>
    <w:rPr>
      <w:b/>
      <w:bCs/>
    </w:rPr>
  </w:style>
  <w:style w:type="character" w:customStyle="1" w:styleId="CommentSubjectChar">
    <w:name w:val="Comment Subject Char"/>
    <w:basedOn w:val="CommentTextChar"/>
    <w:link w:val="CommentSubject"/>
    <w:uiPriority w:val="99"/>
    <w:semiHidden/>
    <w:rsid w:val="0006763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67631"/>
    <w:pPr>
      <w:tabs>
        <w:tab w:val="center" w:pos="4680"/>
        <w:tab w:val="right" w:pos="9360"/>
      </w:tabs>
    </w:pPr>
  </w:style>
  <w:style w:type="character" w:customStyle="1" w:styleId="FooterChar">
    <w:name w:val="Footer Char"/>
    <w:basedOn w:val="DefaultParagraphFont"/>
    <w:link w:val="Footer"/>
    <w:uiPriority w:val="99"/>
    <w:rsid w:val="00067631"/>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51E1B"/>
    <w:rPr>
      <w:sz w:val="20"/>
    </w:rPr>
  </w:style>
  <w:style w:type="character" w:customStyle="1" w:styleId="EndnoteTextChar">
    <w:name w:val="Endnote Text Char"/>
    <w:basedOn w:val="DefaultParagraphFont"/>
    <w:link w:val="EndnoteText"/>
    <w:uiPriority w:val="99"/>
    <w:semiHidden/>
    <w:rsid w:val="00751E1B"/>
    <w:rPr>
      <w:rFonts w:ascii="Times New Roman" w:eastAsia="Times New Roman" w:hAnsi="Times New Roman"/>
    </w:rPr>
  </w:style>
  <w:style w:type="character" w:styleId="EndnoteReference">
    <w:name w:val="endnote reference"/>
    <w:basedOn w:val="DefaultParagraphFont"/>
    <w:uiPriority w:val="99"/>
    <w:semiHidden/>
    <w:unhideWhenUsed/>
    <w:rsid w:val="00751E1B"/>
    <w:rPr>
      <w:vertAlign w:val="superscript"/>
    </w:rPr>
  </w:style>
  <w:style w:type="character" w:styleId="Strong">
    <w:name w:val="Strong"/>
    <w:basedOn w:val="DefaultParagraphFont"/>
    <w:uiPriority w:val="22"/>
    <w:qFormat/>
    <w:rsid w:val="00950F69"/>
    <w:rPr>
      <w:b/>
      <w:bCs/>
      <w:i w:val="0"/>
      <w:sz w:val="24"/>
      <w:u w:val="none"/>
    </w:rPr>
  </w:style>
  <w:style w:type="character" w:styleId="Emphasis">
    <w:name w:val="Emphasis"/>
    <w:basedOn w:val="DefaultParagraphFont"/>
    <w:uiPriority w:val="20"/>
    <w:qFormat/>
    <w:rsid w:val="00DE359A"/>
    <w:rPr>
      <w:i/>
      <w:iCs/>
      <w:sz w:val="24"/>
    </w:rPr>
  </w:style>
  <w:style w:type="paragraph" w:styleId="Title">
    <w:name w:val="Title"/>
    <w:basedOn w:val="Normal"/>
    <w:next w:val="Normal"/>
    <w:link w:val="TitleChar"/>
    <w:uiPriority w:val="10"/>
    <w:qFormat/>
    <w:rsid w:val="008E79CC"/>
    <w:pPr>
      <w:spacing w:after="300"/>
      <w:contextualSpacing/>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8E79CC"/>
    <w:rPr>
      <w:rFonts w:ascii="Times New Roman" w:eastAsiaTheme="majorEastAsia" w:hAnsi="Times New Roman" w:cstheme="majorBidi"/>
      <w:spacing w:val="5"/>
      <w:kern w:val="28"/>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12A"/>
    <w:rPr>
      <w:rFonts w:ascii="Times New Roman" w:eastAsia="Times New Roman" w:hAnsi="Times New Roman"/>
      <w:sz w:val="24"/>
    </w:rPr>
  </w:style>
  <w:style w:type="paragraph" w:styleId="Heading1">
    <w:name w:val="heading 1"/>
    <w:basedOn w:val="Normal"/>
    <w:link w:val="Heading1Char"/>
    <w:uiPriority w:val="9"/>
    <w:qFormat/>
    <w:rsid w:val="009B112A"/>
    <w:pPr>
      <w:numPr>
        <w:numId w:val="1"/>
      </w:numPr>
      <w:spacing w:before="120" w:after="120"/>
      <w:outlineLvl w:val="0"/>
    </w:pPr>
    <w:rPr>
      <w:b/>
      <w:bCs/>
      <w:kern w:val="36"/>
      <w:sz w:val="38"/>
      <w:szCs w:val="38"/>
    </w:rPr>
  </w:style>
  <w:style w:type="paragraph" w:styleId="Heading2">
    <w:name w:val="heading 2"/>
    <w:basedOn w:val="Normal"/>
    <w:next w:val="Normal"/>
    <w:link w:val="Heading2Char"/>
    <w:unhideWhenUsed/>
    <w:qFormat/>
    <w:rsid w:val="009B112A"/>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9B112A"/>
    <w:pPr>
      <w:keepNext/>
      <w:widowControl w:val="0"/>
      <w:numPr>
        <w:ilvl w:val="2"/>
        <w:numId w:val="1"/>
      </w:numPr>
      <w:suppressAutoHyphens/>
      <w:jc w:val="center"/>
      <w:outlineLvl w:val="2"/>
    </w:pPr>
    <w:rPr>
      <w:rFonts w:eastAsia="Arial Unicode MS"/>
      <w:b/>
      <w:szCs w:val="24"/>
      <w:lang w:eastAsia="en-PH"/>
    </w:rPr>
  </w:style>
  <w:style w:type="paragraph" w:styleId="Heading4">
    <w:name w:val="heading 4"/>
    <w:basedOn w:val="Normal"/>
    <w:next w:val="Normal"/>
    <w:link w:val="Heading4Char"/>
    <w:unhideWhenUsed/>
    <w:qFormat/>
    <w:rsid w:val="009B112A"/>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B112A"/>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9B112A"/>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9B112A"/>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B112A"/>
    <w:pPr>
      <w:keepNext/>
      <w:keepLines/>
      <w:numPr>
        <w:ilvl w:val="7"/>
        <w:numId w:val="1"/>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9B112A"/>
    <w:pPr>
      <w:keepNext/>
      <w:keepLines/>
      <w:numPr>
        <w:ilvl w:val="8"/>
        <w:numId w:val="1"/>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2A"/>
    <w:rPr>
      <w:rFonts w:ascii="Times New Roman" w:eastAsia="Times New Roman" w:hAnsi="Times New Roman" w:cs="Times New Roman"/>
      <w:b/>
      <w:bCs/>
      <w:kern w:val="36"/>
      <w:sz w:val="38"/>
      <w:szCs w:val="38"/>
    </w:rPr>
  </w:style>
  <w:style w:type="character" w:customStyle="1" w:styleId="Heading2Char">
    <w:name w:val="Heading 2 Char"/>
    <w:basedOn w:val="DefaultParagraphFont"/>
    <w:link w:val="Heading2"/>
    <w:rsid w:val="009B112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B112A"/>
    <w:rPr>
      <w:rFonts w:ascii="Times New Roman" w:eastAsia="Arial Unicode MS" w:hAnsi="Times New Roman" w:cs="Times New Roman"/>
      <w:b/>
      <w:sz w:val="24"/>
      <w:szCs w:val="24"/>
      <w:lang w:eastAsia="en-PH"/>
    </w:rPr>
  </w:style>
  <w:style w:type="character" w:customStyle="1" w:styleId="Heading4Char">
    <w:name w:val="Heading 4 Char"/>
    <w:basedOn w:val="DefaultParagraphFont"/>
    <w:link w:val="Heading4"/>
    <w:rsid w:val="009B112A"/>
    <w:rPr>
      <w:rFonts w:ascii="Cambria" w:eastAsia="Times New Roman" w:hAnsi="Cambria" w:cs="Times New Roman"/>
      <w:b/>
      <w:bCs/>
      <w:i/>
      <w:iCs/>
      <w:color w:val="4F81BD"/>
      <w:sz w:val="24"/>
      <w:szCs w:val="20"/>
    </w:rPr>
  </w:style>
  <w:style w:type="character" w:customStyle="1" w:styleId="Heading5Char">
    <w:name w:val="Heading 5 Char"/>
    <w:basedOn w:val="DefaultParagraphFont"/>
    <w:link w:val="Heading5"/>
    <w:semiHidden/>
    <w:rsid w:val="009B112A"/>
    <w:rPr>
      <w:rFonts w:ascii="Cambria" w:eastAsia="Times New Roman" w:hAnsi="Cambria" w:cs="Times New Roman"/>
      <w:color w:val="243F60"/>
      <w:sz w:val="24"/>
      <w:szCs w:val="20"/>
    </w:rPr>
  </w:style>
  <w:style w:type="character" w:customStyle="1" w:styleId="Heading6Char">
    <w:name w:val="Heading 6 Char"/>
    <w:basedOn w:val="DefaultParagraphFont"/>
    <w:link w:val="Heading6"/>
    <w:semiHidden/>
    <w:rsid w:val="009B112A"/>
    <w:rPr>
      <w:rFonts w:ascii="Cambria" w:eastAsia="Times New Roman" w:hAnsi="Cambria" w:cs="Times New Roman"/>
      <w:i/>
      <w:iCs/>
      <w:color w:val="243F60"/>
      <w:sz w:val="24"/>
      <w:szCs w:val="20"/>
    </w:rPr>
  </w:style>
  <w:style w:type="character" w:customStyle="1" w:styleId="Heading7Char">
    <w:name w:val="Heading 7 Char"/>
    <w:basedOn w:val="DefaultParagraphFont"/>
    <w:link w:val="Heading7"/>
    <w:semiHidden/>
    <w:rsid w:val="009B112A"/>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semiHidden/>
    <w:rsid w:val="009B112A"/>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9B112A"/>
    <w:rPr>
      <w:rFonts w:ascii="Cambria" w:eastAsia="Times New Roman" w:hAnsi="Cambria" w:cs="Times New Roman"/>
      <w:i/>
      <w:iCs/>
      <w:color w:val="404040"/>
      <w:sz w:val="20"/>
      <w:szCs w:val="20"/>
    </w:rPr>
  </w:style>
  <w:style w:type="paragraph" w:styleId="Header">
    <w:name w:val="header"/>
    <w:basedOn w:val="Normal"/>
    <w:link w:val="HeaderChar"/>
    <w:uiPriority w:val="99"/>
    <w:rsid w:val="009B112A"/>
    <w:pPr>
      <w:tabs>
        <w:tab w:val="center" w:pos="4320"/>
        <w:tab w:val="right" w:pos="8640"/>
      </w:tabs>
    </w:pPr>
  </w:style>
  <w:style w:type="character" w:customStyle="1" w:styleId="HeaderChar">
    <w:name w:val="Header Char"/>
    <w:basedOn w:val="DefaultParagraphFont"/>
    <w:link w:val="Header"/>
    <w:uiPriority w:val="99"/>
    <w:rsid w:val="009B112A"/>
    <w:rPr>
      <w:rFonts w:ascii="Times New Roman" w:eastAsia="Times New Roman" w:hAnsi="Times New Roman" w:cs="Times New Roman"/>
      <w:sz w:val="24"/>
      <w:szCs w:val="20"/>
    </w:rPr>
  </w:style>
  <w:style w:type="character" w:styleId="Hyperlink">
    <w:name w:val="Hyperlink"/>
    <w:uiPriority w:val="99"/>
    <w:unhideWhenUsed/>
    <w:rsid w:val="009B112A"/>
    <w:rPr>
      <w:color w:val="0000FF"/>
      <w:u w:val="single"/>
    </w:rPr>
  </w:style>
  <w:style w:type="paragraph" w:styleId="BalloonText">
    <w:name w:val="Balloon Text"/>
    <w:basedOn w:val="Normal"/>
    <w:link w:val="BalloonTextChar"/>
    <w:uiPriority w:val="99"/>
    <w:semiHidden/>
    <w:unhideWhenUsed/>
    <w:rsid w:val="0073690E"/>
    <w:rPr>
      <w:rFonts w:ascii="Tahoma" w:hAnsi="Tahoma" w:cs="Tahoma"/>
      <w:sz w:val="16"/>
      <w:szCs w:val="16"/>
    </w:rPr>
  </w:style>
  <w:style w:type="character" w:customStyle="1" w:styleId="BalloonTextChar">
    <w:name w:val="Balloon Text Char"/>
    <w:basedOn w:val="DefaultParagraphFont"/>
    <w:link w:val="BalloonText"/>
    <w:uiPriority w:val="99"/>
    <w:semiHidden/>
    <w:rsid w:val="0073690E"/>
    <w:rPr>
      <w:rFonts w:ascii="Tahoma" w:eastAsia="Times New Roman" w:hAnsi="Tahoma" w:cs="Tahoma"/>
      <w:sz w:val="16"/>
      <w:szCs w:val="16"/>
    </w:rPr>
  </w:style>
  <w:style w:type="paragraph" w:styleId="ListParagraph">
    <w:name w:val="List Paragraph"/>
    <w:basedOn w:val="Normal"/>
    <w:uiPriority w:val="34"/>
    <w:qFormat/>
    <w:rsid w:val="006E4279"/>
    <w:pPr>
      <w:ind w:left="720"/>
      <w:contextualSpacing/>
    </w:pPr>
  </w:style>
  <w:style w:type="paragraph" w:styleId="FootnoteText">
    <w:name w:val="footnote text"/>
    <w:basedOn w:val="Normal"/>
    <w:link w:val="FootnoteTextChar"/>
    <w:uiPriority w:val="99"/>
    <w:rsid w:val="006E4279"/>
    <w:rPr>
      <w:sz w:val="20"/>
    </w:rPr>
  </w:style>
  <w:style w:type="character" w:customStyle="1" w:styleId="FootnoteTextChar">
    <w:name w:val="Footnote Text Char"/>
    <w:basedOn w:val="DefaultParagraphFont"/>
    <w:link w:val="FootnoteText"/>
    <w:uiPriority w:val="99"/>
    <w:rsid w:val="006E427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E4279"/>
    <w:rPr>
      <w:vertAlign w:val="superscript"/>
    </w:rPr>
  </w:style>
  <w:style w:type="paragraph" w:styleId="NormalWeb">
    <w:name w:val="Normal (Web)"/>
    <w:basedOn w:val="Normal"/>
    <w:uiPriority w:val="99"/>
    <w:unhideWhenUsed/>
    <w:rsid w:val="006E4279"/>
    <w:pPr>
      <w:spacing w:before="120" w:after="120"/>
    </w:pPr>
    <w:rPr>
      <w:szCs w:val="24"/>
    </w:rPr>
  </w:style>
  <w:style w:type="character" w:styleId="FollowedHyperlink">
    <w:name w:val="FollowedHyperlink"/>
    <w:basedOn w:val="DefaultParagraphFont"/>
    <w:uiPriority w:val="99"/>
    <w:semiHidden/>
    <w:unhideWhenUsed/>
    <w:rsid w:val="00FC50D7"/>
    <w:rPr>
      <w:color w:val="800080"/>
      <w:u w:val="single"/>
    </w:rPr>
  </w:style>
  <w:style w:type="paragraph" w:styleId="PlainText">
    <w:name w:val="Plain Text"/>
    <w:basedOn w:val="Normal"/>
    <w:link w:val="PlainTextChar"/>
    <w:uiPriority w:val="99"/>
    <w:unhideWhenUsed/>
    <w:rsid w:val="0034468E"/>
    <w:rPr>
      <w:rFonts w:ascii="Arial" w:eastAsia="Calibri" w:hAnsi="Arial" w:cs="Arial"/>
      <w:sz w:val="20"/>
    </w:rPr>
  </w:style>
  <w:style w:type="character" w:customStyle="1" w:styleId="PlainTextChar">
    <w:name w:val="Plain Text Char"/>
    <w:basedOn w:val="DefaultParagraphFont"/>
    <w:link w:val="PlainText"/>
    <w:uiPriority w:val="99"/>
    <w:rsid w:val="0034468E"/>
    <w:rPr>
      <w:rFonts w:ascii="Arial" w:hAnsi="Arial" w:cs="Arial"/>
      <w:sz w:val="20"/>
      <w:szCs w:val="20"/>
    </w:rPr>
  </w:style>
  <w:style w:type="character" w:styleId="CommentReference">
    <w:name w:val="annotation reference"/>
    <w:basedOn w:val="DefaultParagraphFont"/>
    <w:uiPriority w:val="99"/>
    <w:semiHidden/>
    <w:unhideWhenUsed/>
    <w:rsid w:val="00067631"/>
    <w:rPr>
      <w:sz w:val="16"/>
      <w:szCs w:val="16"/>
    </w:rPr>
  </w:style>
  <w:style w:type="paragraph" w:styleId="CommentText">
    <w:name w:val="annotation text"/>
    <w:basedOn w:val="Normal"/>
    <w:link w:val="CommentTextChar"/>
    <w:uiPriority w:val="99"/>
    <w:semiHidden/>
    <w:unhideWhenUsed/>
    <w:rsid w:val="00067631"/>
    <w:rPr>
      <w:sz w:val="20"/>
    </w:rPr>
  </w:style>
  <w:style w:type="character" w:customStyle="1" w:styleId="CommentTextChar">
    <w:name w:val="Comment Text Char"/>
    <w:basedOn w:val="DefaultParagraphFont"/>
    <w:link w:val="CommentText"/>
    <w:uiPriority w:val="99"/>
    <w:semiHidden/>
    <w:rsid w:val="000676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7631"/>
    <w:rPr>
      <w:b/>
      <w:bCs/>
    </w:rPr>
  </w:style>
  <w:style w:type="character" w:customStyle="1" w:styleId="CommentSubjectChar">
    <w:name w:val="Comment Subject Char"/>
    <w:basedOn w:val="CommentTextChar"/>
    <w:link w:val="CommentSubject"/>
    <w:uiPriority w:val="99"/>
    <w:semiHidden/>
    <w:rsid w:val="0006763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067631"/>
    <w:pPr>
      <w:tabs>
        <w:tab w:val="center" w:pos="4680"/>
        <w:tab w:val="right" w:pos="9360"/>
      </w:tabs>
    </w:pPr>
  </w:style>
  <w:style w:type="character" w:customStyle="1" w:styleId="FooterChar">
    <w:name w:val="Footer Char"/>
    <w:basedOn w:val="DefaultParagraphFont"/>
    <w:link w:val="Footer"/>
    <w:uiPriority w:val="99"/>
    <w:rsid w:val="00067631"/>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51E1B"/>
    <w:rPr>
      <w:sz w:val="20"/>
    </w:rPr>
  </w:style>
  <w:style w:type="character" w:customStyle="1" w:styleId="EndnoteTextChar">
    <w:name w:val="Endnote Text Char"/>
    <w:basedOn w:val="DefaultParagraphFont"/>
    <w:link w:val="EndnoteText"/>
    <w:uiPriority w:val="99"/>
    <w:semiHidden/>
    <w:rsid w:val="00751E1B"/>
    <w:rPr>
      <w:rFonts w:ascii="Times New Roman" w:eastAsia="Times New Roman" w:hAnsi="Times New Roman"/>
    </w:rPr>
  </w:style>
  <w:style w:type="character" w:styleId="EndnoteReference">
    <w:name w:val="endnote reference"/>
    <w:basedOn w:val="DefaultParagraphFont"/>
    <w:uiPriority w:val="99"/>
    <w:semiHidden/>
    <w:unhideWhenUsed/>
    <w:rsid w:val="00751E1B"/>
    <w:rPr>
      <w:vertAlign w:val="superscript"/>
    </w:rPr>
  </w:style>
  <w:style w:type="character" w:styleId="Strong">
    <w:name w:val="Strong"/>
    <w:basedOn w:val="DefaultParagraphFont"/>
    <w:uiPriority w:val="22"/>
    <w:qFormat/>
    <w:rsid w:val="00950F69"/>
    <w:rPr>
      <w:b/>
      <w:bCs/>
      <w:i w:val="0"/>
      <w:sz w:val="24"/>
      <w:u w:val="none"/>
    </w:rPr>
  </w:style>
  <w:style w:type="character" w:styleId="Emphasis">
    <w:name w:val="Emphasis"/>
    <w:basedOn w:val="DefaultParagraphFont"/>
    <w:uiPriority w:val="20"/>
    <w:qFormat/>
    <w:rsid w:val="00DE359A"/>
    <w:rPr>
      <w:i/>
      <w:iCs/>
      <w:sz w:val="24"/>
    </w:rPr>
  </w:style>
  <w:style w:type="paragraph" w:styleId="Title">
    <w:name w:val="Title"/>
    <w:basedOn w:val="Normal"/>
    <w:next w:val="Normal"/>
    <w:link w:val="TitleChar"/>
    <w:uiPriority w:val="10"/>
    <w:qFormat/>
    <w:rsid w:val="008E79CC"/>
    <w:pPr>
      <w:spacing w:after="300"/>
      <w:contextualSpacing/>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8E79CC"/>
    <w:rPr>
      <w:rFonts w:ascii="Times New Roman" w:eastAsiaTheme="majorEastAsia" w:hAnsi="Times New Roman" w:cstheme="majorBidi"/>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6406">
      <w:bodyDiv w:val="1"/>
      <w:marLeft w:val="0"/>
      <w:marRight w:val="0"/>
      <w:marTop w:val="0"/>
      <w:marBottom w:val="0"/>
      <w:divBdr>
        <w:top w:val="none" w:sz="0" w:space="0" w:color="auto"/>
        <w:left w:val="none" w:sz="0" w:space="0" w:color="auto"/>
        <w:bottom w:val="none" w:sz="0" w:space="0" w:color="auto"/>
        <w:right w:val="none" w:sz="0" w:space="0" w:color="auto"/>
      </w:divBdr>
    </w:div>
    <w:div w:id="582841915">
      <w:bodyDiv w:val="1"/>
      <w:marLeft w:val="0"/>
      <w:marRight w:val="0"/>
      <w:marTop w:val="0"/>
      <w:marBottom w:val="0"/>
      <w:divBdr>
        <w:top w:val="none" w:sz="0" w:space="0" w:color="auto"/>
        <w:left w:val="none" w:sz="0" w:space="0" w:color="auto"/>
        <w:bottom w:val="none" w:sz="0" w:space="0" w:color="auto"/>
        <w:right w:val="none" w:sz="0" w:space="0" w:color="auto"/>
      </w:divBdr>
    </w:div>
    <w:div w:id="1722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asfr/ogapa/acquisition/effspendpol_memo.html" TargetMode="External"/><Relationship Id="rId18" Type="http://schemas.openxmlformats.org/officeDocument/2006/relationships/hyperlink" Target="http://oma.od.nih.gov/manualchapters/contracts/6031/" TargetMode="External"/><Relationship Id="rId26" Type="http://schemas.openxmlformats.org/officeDocument/2006/relationships/hyperlink" Target="mailto:r131@mail.nih.gov" TargetMode="External"/><Relationship Id="rId3" Type="http://schemas.openxmlformats.org/officeDocument/2006/relationships/styles" Target="styles.xml"/><Relationship Id="rId21" Type="http://schemas.openxmlformats.org/officeDocument/2006/relationships/hyperlink" Target="mailto:bullsmg@mail.nih.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hitehouse.gov/sites/default/files/omb/memoranda/2012/m-12-12.pdf" TargetMode="External"/><Relationship Id="rId17" Type="http://schemas.openxmlformats.org/officeDocument/2006/relationships/hyperlink" Target="http://oma.od.nih.gov/manualchapters/management/1135/" TargetMode="External"/><Relationship Id="rId25" Type="http://schemas.openxmlformats.org/officeDocument/2006/relationships/hyperlink" Target="mailto:EfficientSpendingPolicy@NIH.gov" TargetMode="External"/><Relationship Id="rId33" Type="http://schemas.openxmlformats.org/officeDocument/2006/relationships/hyperlink" Target="http://oma.od.nih.gov/manualchapters/acquisitions/26101-17-1/" TargetMode="External"/><Relationship Id="rId2" Type="http://schemas.openxmlformats.org/officeDocument/2006/relationships/numbering" Target="numbering.xml"/><Relationship Id="rId16" Type="http://schemas.openxmlformats.org/officeDocument/2006/relationships/hyperlink" Target="http://oma.od.nih.gov/manualchapters/acquisitions/26101-17-1/" TargetMode="External"/><Relationship Id="rId20" Type="http://schemas.openxmlformats.org/officeDocument/2006/relationships/hyperlink" Target="mailto:Kenneth.Stith@nih.gov" TargetMode="External"/><Relationship Id="rId29" Type="http://schemas.openxmlformats.org/officeDocument/2006/relationships/hyperlink" Target="mailto:OGAPA@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the-press-office/2011/06/13/executive-order-delivering-efficient-effective-and-accountable-governmen" TargetMode="External"/><Relationship Id="rId24" Type="http://schemas.openxmlformats.org/officeDocument/2006/relationships/hyperlink" Target="mailto:EfficientSpendingPolicy@NIH.gov" TargetMode="External"/><Relationship Id="rId32" Type="http://schemas.openxmlformats.org/officeDocument/2006/relationships/hyperlink" Target="mailto:EfficientSpendingPolicy@NIH.gov" TargetMode="External"/><Relationship Id="rId5" Type="http://schemas.openxmlformats.org/officeDocument/2006/relationships/settings" Target="settings.xml"/><Relationship Id="rId15" Type="http://schemas.openxmlformats.org/officeDocument/2006/relationships/hyperlink" Target="http://oma.od.nih.gov/manualchapters/management/1160-1/" TargetMode="External"/><Relationship Id="rId23" Type="http://schemas.openxmlformats.org/officeDocument/2006/relationships/hyperlink" Target="mailto:EfficientSpendingPolicy@NIH.gov" TargetMode="External"/><Relationship Id="rId28" Type="http://schemas.openxmlformats.org/officeDocument/2006/relationships/hyperlink" Target="mailto:r131@mail.nih.gov" TargetMode="External"/><Relationship Id="rId10" Type="http://schemas.openxmlformats.org/officeDocument/2006/relationships/hyperlink" Target="http://www.whitehouse.gov/the-press-office/2011/11/09/executive-order-promoting-efficient-spending" TargetMode="External"/><Relationship Id="rId19" Type="http://schemas.openxmlformats.org/officeDocument/2006/relationships/hyperlink" Target="mailto:EfficientSpendingPolicy@NIH.gov" TargetMode="External"/><Relationship Id="rId31" Type="http://schemas.openxmlformats.org/officeDocument/2006/relationships/hyperlink" Target="mailto:OFMTravel@mail.nih.gov" TargetMode="External"/><Relationship Id="rId4" Type="http://schemas.microsoft.com/office/2007/relationships/stylesWithEffects" Target="stylesWithEffects.xml"/><Relationship Id="rId9" Type="http://schemas.openxmlformats.org/officeDocument/2006/relationships/hyperlink" Target="http://www.whitehouse.gov/sites/default/files/omb/memoranda/2011/m11-35.pdf" TargetMode="External"/><Relationship Id="rId14" Type="http://schemas.openxmlformats.org/officeDocument/2006/relationships/hyperlink" Target="http://oma.od.nih.gov/manualchapters/contracts/6308/" TargetMode="External"/><Relationship Id="rId22" Type="http://schemas.openxmlformats.org/officeDocument/2006/relationships/footer" Target="footer1.xml"/><Relationship Id="rId27" Type="http://schemas.openxmlformats.org/officeDocument/2006/relationships/hyperlink" Target="mailto:OGAPA@hhs.gov" TargetMode="External"/><Relationship Id="rId30" Type="http://schemas.openxmlformats.org/officeDocument/2006/relationships/hyperlink" Target="http://www.hhs.gov/travel/policies/2012_policy_manual.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C3A03-7AC0-4A7F-8975-5E45EEC3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NIH Implemtation Guidance of the DHHS Efficient Spending Policy 6/15/12</vt:lpstr>
    </vt:vector>
  </TitlesOfParts>
  <Company>NIH</Company>
  <LinksUpToDate>false</LinksUpToDate>
  <CharactersWithSpaces>18304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Implemtation Guidance of the DHHS Efficient Spending Policy 6/15/12</dc:title>
  <dc:subject>NIH Implementation Guidance of the DHHS Efficient Spending Policy 6/5/12</dc:subject>
  <dc:creator>NIH/OD/OALM/OAMP</dc:creator>
  <dc:description>508 compliant 4/17/13</dc:description>
  <cp:lastModifiedBy>kaminsks</cp:lastModifiedBy>
  <cp:revision>2</cp:revision>
  <cp:lastPrinted>2012-06-27T13:22:00Z</cp:lastPrinted>
  <dcterms:created xsi:type="dcterms:W3CDTF">2013-04-17T19:06:00Z</dcterms:created>
  <dcterms:modified xsi:type="dcterms:W3CDTF">2013-04-17T19:06:00Z</dcterms:modified>
</cp:coreProperties>
</file>