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DCA" w:rsidRPr="003615F5" w:rsidRDefault="00915D61" w:rsidP="00C762BE">
      <w:pPr>
        <w:pStyle w:val="Header"/>
        <w:ind w:left="-1170"/>
        <w:rPr>
          <w:rFonts w:ascii="Arial" w:hAnsi="Arial" w:cs="Arial"/>
          <w:szCs w:val="24"/>
        </w:rPr>
      </w:pPr>
      <w:bookmarkStart w:id="0" w:name="_GoBack"/>
      <w:bookmarkEnd w:id="0"/>
      <w:r>
        <w:rPr>
          <w:rFonts w:ascii="Arial" w:hAnsi="Arial" w:cs="Arial"/>
          <w:szCs w:val="24"/>
        </w:rPr>
        <w:tab/>
      </w:r>
      <w:r w:rsidR="00D970A1" w:rsidRPr="003E441A">
        <w:rPr>
          <w:rFonts w:ascii="Arial" w:hAnsi="Arial" w:cs="Arial"/>
          <w:szCs w:val="24"/>
        </w:rPr>
        <w:object w:dxaOrig="11716" w:dyaOrig="1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6pt;height:90pt" o:ole="" fillcolor="window">
            <v:imagedata r:id="rId9" o:title=""/>
          </v:shape>
          <o:OLEObject Type="Embed" ProgID="Word.Picture.8" ShapeID="_x0000_i1025" DrawAspect="Content" ObjectID="_1390109886" r:id="rId10"/>
        </w:object>
      </w:r>
    </w:p>
    <w:p w:rsidR="00D970A1" w:rsidRDefault="00D24AF0">
      <w:pPr>
        <w:pStyle w:val="Header"/>
        <w:tabs>
          <w:tab w:val="clear" w:pos="4320"/>
          <w:tab w:val="clear" w:pos="8640"/>
        </w:tabs>
        <w:rPr>
          <w:szCs w:val="24"/>
        </w:rPr>
      </w:pPr>
      <w:r>
        <w:rPr>
          <w:szCs w:val="24"/>
        </w:rPr>
        <w:t>January 30, 2012</w:t>
      </w:r>
    </w:p>
    <w:p w:rsidR="00D24AF0" w:rsidRDefault="00D24AF0">
      <w:pPr>
        <w:pStyle w:val="Header"/>
        <w:tabs>
          <w:tab w:val="clear" w:pos="4320"/>
          <w:tab w:val="clear" w:pos="8640"/>
        </w:tabs>
        <w:rPr>
          <w:szCs w:val="24"/>
        </w:rPr>
      </w:pPr>
    </w:p>
    <w:p w:rsidR="007C17F8" w:rsidRPr="00B8381B" w:rsidRDefault="00046ABD">
      <w:pPr>
        <w:pStyle w:val="Header"/>
        <w:tabs>
          <w:tab w:val="clear" w:pos="4320"/>
          <w:tab w:val="clear" w:pos="8640"/>
        </w:tabs>
        <w:rPr>
          <w:szCs w:val="24"/>
        </w:rPr>
      </w:pPr>
      <w:r w:rsidRPr="00046ABD">
        <w:rPr>
          <w:szCs w:val="24"/>
        </w:rPr>
        <w:t xml:space="preserve">MEMORANDUM </w:t>
      </w:r>
      <w:r w:rsidRPr="00046ABD">
        <w:rPr>
          <w:szCs w:val="24"/>
        </w:rPr>
        <w:tab/>
      </w:r>
    </w:p>
    <w:p w:rsidR="007C17F8" w:rsidRPr="00B8381B" w:rsidRDefault="007C17F8">
      <w:pPr>
        <w:pStyle w:val="Header"/>
        <w:tabs>
          <w:tab w:val="clear" w:pos="4320"/>
          <w:tab w:val="clear" w:pos="8640"/>
        </w:tabs>
        <w:rPr>
          <w:szCs w:val="24"/>
        </w:rPr>
      </w:pPr>
    </w:p>
    <w:p w:rsidR="00EF7FA0" w:rsidRPr="00B8381B" w:rsidRDefault="00046ABD">
      <w:pPr>
        <w:pStyle w:val="Header"/>
        <w:tabs>
          <w:tab w:val="clear" w:pos="4320"/>
          <w:tab w:val="clear" w:pos="8640"/>
        </w:tabs>
        <w:rPr>
          <w:szCs w:val="24"/>
        </w:rPr>
      </w:pPr>
      <w:r w:rsidRPr="00046ABD">
        <w:rPr>
          <w:szCs w:val="24"/>
        </w:rPr>
        <w:t xml:space="preserve">To:     </w:t>
      </w:r>
      <w:r w:rsidRPr="00046ABD">
        <w:rPr>
          <w:szCs w:val="24"/>
        </w:rPr>
        <w:tab/>
      </w:r>
      <w:r w:rsidRPr="00046ABD">
        <w:rPr>
          <w:szCs w:val="24"/>
        </w:rPr>
        <w:tab/>
        <w:t>NIH Executive Officers</w:t>
      </w:r>
    </w:p>
    <w:p w:rsidR="007600B3" w:rsidRDefault="00046ABD">
      <w:pPr>
        <w:pStyle w:val="Header"/>
        <w:tabs>
          <w:tab w:val="clear" w:pos="4320"/>
          <w:tab w:val="clear" w:pos="8640"/>
        </w:tabs>
        <w:ind w:left="720" w:firstLine="720"/>
        <w:rPr>
          <w:szCs w:val="24"/>
        </w:rPr>
      </w:pPr>
      <w:r w:rsidRPr="00046ABD">
        <w:rPr>
          <w:szCs w:val="24"/>
        </w:rPr>
        <w:t xml:space="preserve">NIH Acquisition Community </w:t>
      </w:r>
    </w:p>
    <w:p w:rsidR="007C17F8" w:rsidRPr="00B8381B" w:rsidRDefault="00046ABD">
      <w:pPr>
        <w:pStyle w:val="Header"/>
        <w:tabs>
          <w:tab w:val="clear" w:pos="4320"/>
          <w:tab w:val="clear" w:pos="8640"/>
        </w:tabs>
        <w:rPr>
          <w:szCs w:val="24"/>
        </w:rPr>
      </w:pPr>
      <w:r w:rsidRPr="00046ABD">
        <w:rPr>
          <w:szCs w:val="24"/>
        </w:rPr>
        <w:tab/>
      </w:r>
      <w:r w:rsidRPr="00046ABD">
        <w:rPr>
          <w:szCs w:val="24"/>
        </w:rPr>
        <w:tab/>
        <w:t>NIH Grants Management Community</w:t>
      </w:r>
    </w:p>
    <w:p w:rsidR="007C17F8" w:rsidRDefault="00046ABD">
      <w:pPr>
        <w:pStyle w:val="Header"/>
        <w:tabs>
          <w:tab w:val="clear" w:pos="4320"/>
          <w:tab w:val="clear" w:pos="8640"/>
        </w:tabs>
        <w:rPr>
          <w:szCs w:val="24"/>
        </w:rPr>
      </w:pPr>
      <w:r w:rsidRPr="00046ABD">
        <w:rPr>
          <w:szCs w:val="24"/>
        </w:rPr>
        <w:tab/>
      </w:r>
      <w:r w:rsidRPr="00046ABD">
        <w:rPr>
          <w:szCs w:val="24"/>
        </w:rPr>
        <w:tab/>
      </w:r>
      <w:r w:rsidR="001651BC">
        <w:rPr>
          <w:szCs w:val="24"/>
        </w:rPr>
        <w:t>NIH Project Officers</w:t>
      </w:r>
    </w:p>
    <w:p w:rsidR="001651BC" w:rsidRPr="00B8381B" w:rsidRDefault="000E7B08" w:rsidP="000E7B08">
      <w:pPr>
        <w:pStyle w:val="Header"/>
        <w:tabs>
          <w:tab w:val="clear" w:pos="4320"/>
          <w:tab w:val="clear" w:pos="8640"/>
        </w:tabs>
        <w:ind w:left="720" w:firstLine="720"/>
        <w:rPr>
          <w:szCs w:val="24"/>
        </w:rPr>
      </w:pPr>
      <w:r>
        <w:rPr>
          <w:szCs w:val="24"/>
        </w:rPr>
        <w:t xml:space="preserve">Intramural and Extramural Administrative Management Committee </w:t>
      </w:r>
      <w:r w:rsidR="008D02C0">
        <w:rPr>
          <w:szCs w:val="24"/>
        </w:rPr>
        <w:t>Chairs</w:t>
      </w:r>
    </w:p>
    <w:p w:rsidR="00EF7FA0" w:rsidRPr="00B8381B" w:rsidRDefault="00EF7FA0">
      <w:pPr>
        <w:pStyle w:val="Header"/>
        <w:tabs>
          <w:tab w:val="clear" w:pos="4320"/>
          <w:tab w:val="clear" w:pos="8640"/>
        </w:tabs>
        <w:rPr>
          <w:szCs w:val="24"/>
        </w:rPr>
      </w:pPr>
    </w:p>
    <w:p w:rsidR="00EF7FA0" w:rsidRPr="00B8381B" w:rsidRDefault="00046ABD">
      <w:pPr>
        <w:pStyle w:val="Header"/>
        <w:tabs>
          <w:tab w:val="clear" w:pos="4320"/>
          <w:tab w:val="clear" w:pos="8640"/>
        </w:tabs>
        <w:rPr>
          <w:szCs w:val="24"/>
        </w:rPr>
      </w:pPr>
      <w:r w:rsidRPr="00046ABD">
        <w:rPr>
          <w:szCs w:val="24"/>
        </w:rPr>
        <w:t xml:space="preserve">From: </w:t>
      </w:r>
      <w:r w:rsidRPr="00046ABD">
        <w:rPr>
          <w:szCs w:val="24"/>
        </w:rPr>
        <w:tab/>
      </w:r>
      <w:r w:rsidRPr="00046ABD">
        <w:rPr>
          <w:szCs w:val="24"/>
        </w:rPr>
        <w:tab/>
        <w:t>Deputy Director for Management, NIH</w:t>
      </w:r>
    </w:p>
    <w:p w:rsidR="00046ABD" w:rsidRPr="00046ABD" w:rsidRDefault="00046ABD" w:rsidP="00046ABD">
      <w:pPr>
        <w:pStyle w:val="Header"/>
        <w:tabs>
          <w:tab w:val="clear" w:pos="4320"/>
          <w:tab w:val="clear" w:pos="8640"/>
        </w:tabs>
        <w:ind w:left="720" w:firstLine="720"/>
        <w:rPr>
          <w:szCs w:val="24"/>
        </w:rPr>
      </w:pPr>
      <w:r w:rsidRPr="00046ABD">
        <w:rPr>
          <w:szCs w:val="24"/>
        </w:rPr>
        <w:t xml:space="preserve">Deputy Director for Extramural Research, NIH </w:t>
      </w:r>
    </w:p>
    <w:p w:rsidR="00A30634" w:rsidRPr="00B8381B" w:rsidRDefault="00A30634">
      <w:pPr>
        <w:pStyle w:val="Header"/>
        <w:tabs>
          <w:tab w:val="clear" w:pos="4320"/>
          <w:tab w:val="clear" w:pos="8640"/>
        </w:tabs>
        <w:ind w:left="720" w:firstLine="720"/>
        <w:rPr>
          <w:szCs w:val="24"/>
        </w:rPr>
      </w:pPr>
    </w:p>
    <w:p w:rsidR="007600B3" w:rsidRDefault="00046ABD">
      <w:pPr>
        <w:pStyle w:val="Header"/>
        <w:tabs>
          <w:tab w:val="clear" w:pos="4320"/>
          <w:tab w:val="clear" w:pos="8640"/>
        </w:tabs>
        <w:ind w:left="1440" w:hanging="1440"/>
        <w:rPr>
          <w:szCs w:val="24"/>
        </w:rPr>
      </w:pPr>
      <w:r w:rsidRPr="00046ABD">
        <w:rPr>
          <w:szCs w:val="24"/>
        </w:rPr>
        <w:t>Subject:</w:t>
      </w:r>
      <w:r w:rsidRPr="00046ABD">
        <w:rPr>
          <w:szCs w:val="24"/>
        </w:rPr>
        <w:tab/>
        <w:t>NIH Guidance Related to the HHS Policies on Promoting Efficient Spending:  Use of Appropriated Funds for Conferences</w:t>
      </w:r>
      <w:r w:rsidR="00425FE4">
        <w:rPr>
          <w:szCs w:val="24"/>
        </w:rPr>
        <w:t>, Conference Grants</w:t>
      </w:r>
      <w:r w:rsidR="000C29D6">
        <w:rPr>
          <w:szCs w:val="24"/>
        </w:rPr>
        <w:t xml:space="preserve"> </w:t>
      </w:r>
      <w:r w:rsidRPr="00046ABD">
        <w:rPr>
          <w:szCs w:val="24"/>
        </w:rPr>
        <w:t>and Meetings, Food, Promotional Items, and Printing and Publications</w:t>
      </w:r>
    </w:p>
    <w:p w:rsidR="007C17F8" w:rsidRPr="00B8381B" w:rsidRDefault="007C17F8">
      <w:pPr>
        <w:pStyle w:val="Header"/>
        <w:tabs>
          <w:tab w:val="clear" w:pos="4320"/>
          <w:tab w:val="clear" w:pos="8640"/>
        </w:tabs>
        <w:rPr>
          <w:szCs w:val="24"/>
        </w:rPr>
      </w:pPr>
    </w:p>
    <w:p w:rsidR="007C17F8" w:rsidRPr="00B8381B" w:rsidRDefault="007C17F8">
      <w:pPr>
        <w:pStyle w:val="Header"/>
        <w:tabs>
          <w:tab w:val="clear" w:pos="4320"/>
          <w:tab w:val="clear" w:pos="8640"/>
        </w:tabs>
        <w:rPr>
          <w:szCs w:val="24"/>
        </w:rPr>
      </w:pPr>
    </w:p>
    <w:p w:rsidR="0087271E" w:rsidRPr="00EF7FA0" w:rsidRDefault="008F1A81" w:rsidP="0087271E">
      <w:pPr>
        <w:rPr>
          <w:szCs w:val="24"/>
        </w:rPr>
      </w:pPr>
      <w:r>
        <w:t xml:space="preserve">On September 21, 2011, the Office of Management and Budget issued Memorandum M-11-35 emphasizing the President’s priority to </w:t>
      </w:r>
      <w:r w:rsidR="00A57EAD">
        <w:t>en</w:t>
      </w:r>
      <w:r>
        <w:t>sure that the</w:t>
      </w:r>
      <w:r w:rsidR="009912BE">
        <w:t xml:space="preserve"> Government operates with the ut</w:t>
      </w:r>
      <w:r>
        <w:t>most efficiency and eliminates unnecessary or wasteful spending</w:t>
      </w:r>
      <w:r w:rsidRPr="00065173">
        <w:t xml:space="preserve">. </w:t>
      </w:r>
      <w:r w:rsidR="00B8381B">
        <w:t xml:space="preserve"> </w:t>
      </w:r>
      <w:r w:rsidR="003B3188" w:rsidRPr="003B3188">
        <w:rPr>
          <w:szCs w:val="24"/>
        </w:rPr>
        <w:t>This was followed by the Executive Order on Delivering an Efficient, Effective, and Accountable Government (</w:t>
      </w:r>
      <w:hyperlink r:id="rId11" w:history="1">
        <w:r w:rsidR="00046ABD" w:rsidRPr="00046ABD">
          <w:rPr>
            <w:rStyle w:val="Hyperlink"/>
            <w:szCs w:val="24"/>
          </w:rPr>
          <w:t>EO 13576</w:t>
        </w:r>
      </w:hyperlink>
      <w:r w:rsidR="00046ABD" w:rsidRPr="00046ABD">
        <w:rPr>
          <w:szCs w:val="24"/>
        </w:rPr>
        <w:t>)</w:t>
      </w:r>
      <w:r w:rsidR="00916E96">
        <w:rPr>
          <w:szCs w:val="24"/>
        </w:rPr>
        <w:t xml:space="preserve">, </w:t>
      </w:r>
      <w:r w:rsidR="00916E96" w:rsidRPr="00046ABD">
        <w:rPr>
          <w:szCs w:val="24"/>
        </w:rPr>
        <w:t>and</w:t>
      </w:r>
      <w:r w:rsidR="00046ABD" w:rsidRPr="00046ABD">
        <w:rPr>
          <w:szCs w:val="24"/>
        </w:rPr>
        <w:t xml:space="preserve"> the Executive Order on Promoting Efficient Spending (</w:t>
      </w:r>
      <w:hyperlink r:id="rId12" w:history="1">
        <w:r w:rsidR="00046ABD" w:rsidRPr="00046ABD">
          <w:rPr>
            <w:rStyle w:val="Hyperlink"/>
            <w:szCs w:val="24"/>
          </w:rPr>
          <w:t>EO 13589</w:t>
        </w:r>
      </w:hyperlink>
      <w:r w:rsidR="00046ABD" w:rsidRPr="00046ABD">
        <w:rPr>
          <w:szCs w:val="24"/>
        </w:rPr>
        <w:t>).</w:t>
      </w:r>
    </w:p>
    <w:p w:rsidR="0087271E" w:rsidRPr="00EF7FA0" w:rsidRDefault="0087271E">
      <w:pPr>
        <w:pStyle w:val="Header"/>
        <w:rPr>
          <w:szCs w:val="24"/>
        </w:rPr>
      </w:pPr>
    </w:p>
    <w:p w:rsidR="00065173" w:rsidRPr="00EF7FA0" w:rsidRDefault="00046ABD" w:rsidP="006B5930">
      <w:pPr>
        <w:rPr>
          <w:szCs w:val="24"/>
        </w:rPr>
      </w:pPr>
      <w:r w:rsidRPr="00046ABD">
        <w:rPr>
          <w:szCs w:val="24"/>
        </w:rPr>
        <w:t xml:space="preserve">In support of these administrative directives, the Department of Health and Human Services (DHHS) issued </w:t>
      </w:r>
      <w:r w:rsidR="00EF7FA0">
        <w:rPr>
          <w:szCs w:val="24"/>
        </w:rPr>
        <w:t xml:space="preserve">on January 3, 2012 </w:t>
      </w:r>
      <w:r w:rsidRPr="00046ABD">
        <w:rPr>
          <w:szCs w:val="24"/>
        </w:rPr>
        <w:t xml:space="preserve">a memorandum “HHS Policy on Promoting Efficient Spending:  Use of Appropriated Funds for Conferences and Meetings, Food, </w:t>
      </w:r>
      <w:r w:rsidR="00EB5EDA">
        <w:rPr>
          <w:szCs w:val="24"/>
        </w:rPr>
        <w:t xml:space="preserve">Promotional Items, and Printing, </w:t>
      </w:r>
      <w:r w:rsidRPr="00046ABD">
        <w:rPr>
          <w:szCs w:val="24"/>
        </w:rPr>
        <w:t xml:space="preserve">and Publications” (See </w:t>
      </w:r>
      <w:hyperlink r:id="rId13" w:history="1">
        <w:r w:rsidRPr="00046ABD">
          <w:rPr>
            <w:rStyle w:val="Hyperlink"/>
            <w:szCs w:val="24"/>
          </w:rPr>
          <w:t>http://www.hhs.gov/asfr/ogapa/acquisition/effspendpol_memo.html</w:t>
        </w:r>
      </w:hyperlink>
      <w:r w:rsidRPr="00046ABD">
        <w:rPr>
          <w:szCs w:val="24"/>
        </w:rPr>
        <w:t>)</w:t>
      </w:r>
    </w:p>
    <w:p w:rsidR="00065173" w:rsidRPr="00EF7FA0" w:rsidRDefault="00065173" w:rsidP="006B5930">
      <w:pPr>
        <w:rPr>
          <w:szCs w:val="24"/>
        </w:rPr>
      </w:pPr>
    </w:p>
    <w:p w:rsidR="00065173" w:rsidRPr="00EF7FA0" w:rsidRDefault="00046ABD" w:rsidP="00065173">
      <w:pPr>
        <w:rPr>
          <w:szCs w:val="24"/>
        </w:rPr>
      </w:pPr>
      <w:r w:rsidRPr="00046ABD">
        <w:rPr>
          <w:szCs w:val="24"/>
        </w:rPr>
        <w:t xml:space="preserve">These new policies are in effect at </w:t>
      </w:r>
      <w:r w:rsidR="00EB5EDA">
        <w:rPr>
          <w:szCs w:val="24"/>
        </w:rPr>
        <w:t>the National Institutes of Health (</w:t>
      </w:r>
      <w:r w:rsidRPr="00046ABD">
        <w:rPr>
          <w:szCs w:val="24"/>
        </w:rPr>
        <w:t>NIH</w:t>
      </w:r>
      <w:r w:rsidR="00EB5EDA">
        <w:rPr>
          <w:szCs w:val="24"/>
        </w:rPr>
        <w:t>)</w:t>
      </w:r>
      <w:r w:rsidRPr="00046ABD">
        <w:rPr>
          <w:szCs w:val="24"/>
        </w:rPr>
        <w:t xml:space="preserve"> immediately and</w:t>
      </w:r>
      <w:r w:rsidR="00EF7FA0">
        <w:rPr>
          <w:szCs w:val="24"/>
        </w:rPr>
        <w:t xml:space="preserve"> </w:t>
      </w:r>
      <w:r w:rsidRPr="00046ABD">
        <w:rPr>
          <w:szCs w:val="24"/>
        </w:rPr>
        <w:t xml:space="preserve">specifically prohibit provision of free food or beverages for any NIH sponsored/funded meeting or conference, with a few exceptions such as award ceremonies and non-DHHS training events where food is included in the registration.  The new policies also put limits on the procurement of meeting space, promotional items, printing and publications. </w:t>
      </w:r>
    </w:p>
    <w:p w:rsidR="00065173" w:rsidRDefault="00065173" w:rsidP="006B5930">
      <w:pPr>
        <w:rPr>
          <w:szCs w:val="24"/>
        </w:rPr>
      </w:pPr>
    </w:p>
    <w:p w:rsidR="00B8381B" w:rsidRPr="00EF7FA0" w:rsidRDefault="00B8381B" w:rsidP="00B8381B">
      <w:pPr>
        <w:rPr>
          <w:szCs w:val="24"/>
        </w:rPr>
      </w:pPr>
      <w:r>
        <w:rPr>
          <w:szCs w:val="24"/>
        </w:rPr>
        <w:t xml:space="preserve">This memorandum </w:t>
      </w:r>
      <w:r w:rsidR="00621D57">
        <w:rPr>
          <w:szCs w:val="24"/>
        </w:rPr>
        <w:t xml:space="preserve">transmits </w:t>
      </w:r>
      <w:r w:rsidRPr="00EF7FA0">
        <w:rPr>
          <w:szCs w:val="24"/>
        </w:rPr>
        <w:t xml:space="preserve">NIH’s guidance and procedures regarding </w:t>
      </w:r>
      <w:r>
        <w:rPr>
          <w:szCs w:val="24"/>
        </w:rPr>
        <w:t xml:space="preserve">implementation of the new policies as it applies to </w:t>
      </w:r>
      <w:r w:rsidRPr="00EF7FA0">
        <w:rPr>
          <w:szCs w:val="24"/>
        </w:rPr>
        <w:t xml:space="preserve">Conferences and Meetings, Food, Promotional Items, and Printing and Publications.  The </w:t>
      </w:r>
      <w:r>
        <w:rPr>
          <w:szCs w:val="24"/>
        </w:rPr>
        <w:t xml:space="preserve">guidance </w:t>
      </w:r>
      <w:r w:rsidRPr="00EF7FA0">
        <w:rPr>
          <w:szCs w:val="24"/>
        </w:rPr>
        <w:t>support</w:t>
      </w:r>
      <w:r>
        <w:rPr>
          <w:szCs w:val="24"/>
        </w:rPr>
        <w:t>s</w:t>
      </w:r>
      <w:r w:rsidRPr="00EF7FA0">
        <w:rPr>
          <w:szCs w:val="24"/>
        </w:rPr>
        <w:t xml:space="preserve"> the OMB’s and Department’s </w:t>
      </w:r>
      <w:r w:rsidR="009912BE">
        <w:rPr>
          <w:szCs w:val="24"/>
        </w:rPr>
        <w:t xml:space="preserve">continued </w:t>
      </w:r>
      <w:r w:rsidRPr="00EF7FA0">
        <w:rPr>
          <w:szCs w:val="24"/>
        </w:rPr>
        <w:t xml:space="preserve">commitment to act in </w:t>
      </w:r>
      <w:r w:rsidR="009912BE">
        <w:rPr>
          <w:szCs w:val="24"/>
        </w:rPr>
        <w:t xml:space="preserve">a </w:t>
      </w:r>
      <w:r w:rsidRPr="00EF7FA0">
        <w:rPr>
          <w:szCs w:val="24"/>
        </w:rPr>
        <w:t>fiscally responsible manner</w:t>
      </w:r>
      <w:r w:rsidR="009912BE">
        <w:rPr>
          <w:szCs w:val="24"/>
        </w:rPr>
        <w:t xml:space="preserve">.  </w:t>
      </w:r>
      <w:r>
        <w:rPr>
          <w:szCs w:val="24"/>
        </w:rPr>
        <w:t xml:space="preserve">Please note that the </w:t>
      </w:r>
      <w:r w:rsidRPr="00EF7FA0">
        <w:rPr>
          <w:szCs w:val="24"/>
        </w:rPr>
        <w:t>guidance on Conferences and Meetings addresses both the acquisition and grants management requirements of the new policies.</w:t>
      </w:r>
    </w:p>
    <w:p w:rsidR="00B8381B" w:rsidRDefault="00B8381B" w:rsidP="006B5930">
      <w:pPr>
        <w:rPr>
          <w:szCs w:val="24"/>
        </w:rPr>
      </w:pPr>
    </w:p>
    <w:p w:rsidR="00724FF4" w:rsidRDefault="00724FF4" w:rsidP="006B5930">
      <w:pPr>
        <w:rPr>
          <w:szCs w:val="24"/>
        </w:rPr>
      </w:pPr>
    </w:p>
    <w:p w:rsidR="00724FF4" w:rsidRDefault="00724FF4" w:rsidP="006B5930">
      <w:pPr>
        <w:rPr>
          <w:szCs w:val="24"/>
        </w:rPr>
      </w:pPr>
    </w:p>
    <w:p w:rsidR="00724FF4" w:rsidRDefault="00724FF4" w:rsidP="006B5930">
      <w:pPr>
        <w:rPr>
          <w:szCs w:val="24"/>
        </w:rPr>
      </w:pPr>
    </w:p>
    <w:p w:rsidR="00700408" w:rsidRDefault="00046ABD" w:rsidP="00700408">
      <w:r w:rsidRPr="00046ABD">
        <w:rPr>
          <w:szCs w:val="24"/>
        </w:rPr>
        <w:t xml:space="preserve">These policies apply to all </w:t>
      </w:r>
      <w:r w:rsidRPr="00046ABD">
        <w:rPr>
          <w:szCs w:val="24"/>
          <w:u w:val="single"/>
        </w:rPr>
        <w:t>new</w:t>
      </w:r>
      <w:r w:rsidRPr="00046ABD">
        <w:rPr>
          <w:szCs w:val="24"/>
        </w:rPr>
        <w:t xml:space="preserve"> obligations made after issuance of the January 3</w:t>
      </w:r>
      <w:r w:rsidRPr="00046ABD">
        <w:rPr>
          <w:szCs w:val="24"/>
          <w:vertAlign w:val="superscript"/>
        </w:rPr>
        <w:t>rd</w:t>
      </w:r>
      <w:r w:rsidRPr="00046ABD">
        <w:rPr>
          <w:szCs w:val="24"/>
        </w:rPr>
        <w:t xml:space="preserve"> </w:t>
      </w:r>
      <w:r w:rsidR="0009552C">
        <w:rPr>
          <w:szCs w:val="24"/>
        </w:rPr>
        <w:t xml:space="preserve">HHS </w:t>
      </w:r>
      <w:r w:rsidRPr="00046ABD">
        <w:rPr>
          <w:szCs w:val="24"/>
        </w:rPr>
        <w:t xml:space="preserve">policy.  </w:t>
      </w:r>
      <w:r w:rsidR="00700408">
        <w:rPr>
          <w:szCs w:val="24"/>
        </w:rPr>
        <w:t xml:space="preserve">It applies to </w:t>
      </w:r>
      <w:r w:rsidR="00700408" w:rsidRPr="00B5285D">
        <w:rPr>
          <w:i/>
          <w:iCs/>
          <w:u w:val="single"/>
        </w:rPr>
        <w:t>all funds appropriated by Congress</w:t>
      </w:r>
      <w:r w:rsidR="00700408" w:rsidRPr="00B5285D">
        <w:t xml:space="preserve"> (</w:t>
      </w:r>
      <w:r w:rsidR="00B055EA">
        <w:t>obligated after January 3, 2012</w:t>
      </w:r>
      <w:r w:rsidR="00522FE9">
        <w:t>)</w:t>
      </w:r>
      <w:r w:rsidR="00B055EA">
        <w:t xml:space="preserve">, </w:t>
      </w:r>
      <w:r w:rsidR="00700408" w:rsidRPr="00B5285D">
        <w:t xml:space="preserve">whether from an annual appropriation, multi-year appropriation, appropriated user fee, mandatory appropriation, gift funds, or reimbursements </w:t>
      </w:r>
      <w:r w:rsidR="00EB5EDA">
        <w:t>from such appropriations, etc</w:t>
      </w:r>
      <w:r w:rsidR="00700408">
        <w:t>.</w:t>
      </w:r>
    </w:p>
    <w:p w:rsidR="00FA36BA" w:rsidRDefault="00FA36BA" w:rsidP="00700408"/>
    <w:p w:rsidR="00FA36BA" w:rsidRDefault="00FA36BA" w:rsidP="00700408">
      <w:r>
        <w:t>Approximately 20 R13 and U13 conference grants issued after the January 3</w:t>
      </w:r>
      <w:r w:rsidRPr="00FA36BA">
        <w:rPr>
          <w:vertAlign w:val="superscript"/>
        </w:rPr>
        <w:t>rd</w:t>
      </w:r>
      <w:r>
        <w:t xml:space="preserve">  effective date but before NIH was able to apply its policy have been separately identified by OER and will not have their terms and conditions modified.  ICs have been notified of these exceptions.</w:t>
      </w:r>
    </w:p>
    <w:p w:rsidR="00700408" w:rsidRPr="00B5285D" w:rsidRDefault="00700408" w:rsidP="00700408"/>
    <w:p w:rsidR="00B5701F" w:rsidRDefault="00EB5EDA" w:rsidP="006B5930">
      <w:pPr>
        <w:rPr>
          <w:szCs w:val="24"/>
        </w:rPr>
      </w:pPr>
      <w:r>
        <w:rPr>
          <w:szCs w:val="24"/>
        </w:rPr>
        <w:t xml:space="preserve">These policies </w:t>
      </w:r>
      <w:r w:rsidR="00517CFE">
        <w:rPr>
          <w:szCs w:val="24"/>
        </w:rPr>
        <w:t>supers</w:t>
      </w:r>
      <w:r w:rsidR="00517CFE" w:rsidRPr="00046ABD">
        <w:rPr>
          <w:szCs w:val="24"/>
        </w:rPr>
        <w:t>ede</w:t>
      </w:r>
      <w:r w:rsidR="00046ABD" w:rsidRPr="00046ABD">
        <w:rPr>
          <w:szCs w:val="24"/>
        </w:rPr>
        <w:t xml:space="preserve"> the HHS’ October 27, 2011 memorandum, “Eliminating Excess Conference Spending and Promoting Efficiency in Government</w:t>
      </w:r>
      <w:r w:rsidR="0009552C">
        <w:rPr>
          <w:szCs w:val="24"/>
        </w:rPr>
        <w:t>.”</w:t>
      </w:r>
    </w:p>
    <w:p w:rsidR="00700408" w:rsidRPr="00DD1949" w:rsidRDefault="00700408" w:rsidP="006B5930">
      <w:pPr>
        <w:rPr>
          <w:szCs w:val="24"/>
        </w:rPr>
      </w:pPr>
    </w:p>
    <w:p w:rsidR="00DD1949" w:rsidRPr="00DD1949" w:rsidRDefault="00592033" w:rsidP="006B5930">
      <w:pPr>
        <w:rPr>
          <w:szCs w:val="24"/>
        </w:rPr>
      </w:pPr>
      <w:r>
        <w:rPr>
          <w:szCs w:val="24"/>
        </w:rPr>
        <w:t xml:space="preserve">The DHHS policy notes that questions regarding these policies can be addressed to contacts in the Office of Grants and Acquisition Policy and Accountability </w:t>
      </w:r>
      <w:r w:rsidRPr="00592033">
        <w:rPr>
          <w:szCs w:val="24"/>
        </w:rPr>
        <w:t xml:space="preserve">(i.e., </w:t>
      </w:r>
      <w:r w:rsidR="00DD1949">
        <w:rPr>
          <w:szCs w:val="24"/>
        </w:rPr>
        <w:t>N</w:t>
      </w:r>
      <w:r w:rsidRPr="00592033">
        <w:rPr>
          <w:szCs w:val="24"/>
        </w:rPr>
        <w:t>ancy Gunderson and Angela Billups).  In an effort to stay coordinated and ensure consistent communications, NIH staff should address any questions regarding the policies and their implementation to the following NIH contacts:</w:t>
      </w:r>
    </w:p>
    <w:p w:rsidR="00DD1949" w:rsidRPr="00DD1949" w:rsidRDefault="00DD1949" w:rsidP="006B5930">
      <w:pPr>
        <w:rPr>
          <w:szCs w:val="24"/>
        </w:rPr>
      </w:pPr>
    </w:p>
    <w:p w:rsidR="006E0D17" w:rsidRDefault="00592033">
      <w:pPr>
        <w:pStyle w:val="ListParagraph"/>
        <w:numPr>
          <w:ilvl w:val="0"/>
          <w:numId w:val="15"/>
        </w:numPr>
        <w:rPr>
          <w:szCs w:val="24"/>
        </w:rPr>
      </w:pPr>
      <w:r w:rsidRPr="00592033">
        <w:rPr>
          <w:szCs w:val="24"/>
        </w:rPr>
        <w:t xml:space="preserve">Questions regarding Conferences and Meeting Space acquisitions, Promotional Items and Printing should be directed to Theresa Garnes at </w:t>
      </w:r>
      <w:hyperlink r:id="rId14" w:history="1">
        <w:r>
          <w:rPr>
            <w:rStyle w:val="Hyperlink"/>
            <w:szCs w:val="24"/>
          </w:rPr>
          <w:t>Theresa.Garnes@nih.gov</w:t>
        </w:r>
      </w:hyperlink>
      <w:r w:rsidRPr="00592033">
        <w:rPr>
          <w:szCs w:val="24"/>
        </w:rPr>
        <w:t xml:space="preserve"> and Diane Frasier at </w:t>
      </w:r>
      <w:hyperlink r:id="rId15" w:history="1">
        <w:r>
          <w:rPr>
            <w:rStyle w:val="Hyperlink"/>
            <w:szCs w:val="24"/>
          </w:rPr>
          <w:t>Frasierd@mail.nih.gov</w:t>
        </w:r>
      </w:hyperlink>
      <w:r w:rsidRPr="00592033">
        <w:rPr>
          <w:szCs w:val="24"/>
        </w:rPr>
        <w:t xml:space="preserve"> . </w:t>
      </w:r>
    </w:p>
    <w:p w:rsidR="00522FE9" w:rsidRPr="00522FE9" w:rsidRDefault="00592033">
      <w:pPr>
        <w:pStyle w:val="ListParagraph"/>
        <w:numPr>
          <w:ilvl w:val="0"/>
          <w:numId w:val="15"/>
        </w:numPr>
        <w:rPr>
          <w:szCs w:val="24"/>
        </w:rPr>
      </w:pPr>
      <w:r w:rsidRPr="00592033">
        <w:rPr>
          <w:szCs w:val="24"/>
        </w:rPr>
        <w:t xml:space="preserve">Questions regarding Food and Beverages should be directed to Ken Stith at </w:t>
      </w:r>
      <w:hyperlink r:id="rId16" w:history="1">
        <w:r>
          <w:rPr>
            <w:rStyle w:val="Hyperlink"/>
            <w:szCs w:val="24"/>
          </w:rPr>
          <w:t>Kenneth.Stith@nih.gov</w:t>
        </w:r>
      </w:hyperlink>
      <w:r w:rsidR="001651BC">
        <w:t xml:space="preserve">, </w:t>
      </w:r>
    </w:p>
    <w:p w:rsidR="006E0D17" w:rsidRDefault="00522FE9">
      <w:pPr>
        <w:pStyle w:val="ListParagraph"/>
        <w:numPr>
          <w:ilvl w:val="0"/>
          <w:numId w:val="15"/>
        </w:numPr>
        <w:rPr>
          <w:szCs w:val="24"/>
        </w:rPr>
      </w:pPr>
      <w:r>
        <w:t xml:space="preserve">Questions regarding </w:t>
      </w:r>
      <w:r w:rsidR="001651BC">
        <w:t>grants</w:t>
      </w:r>
      <w:r w:rsidR="00517CFE">
        <w:t xml:space="preserve">, </w:t>
      </w:r>
      <w:r w:rsidR="00517CFE" w:rsidRPr="00592033">
        <w:rPr>
          <w:szCs w:val="24"/>
        </w:rPr>
        <w:t>Joe</w:t>
      </w:r>
      <w:r w:rsidR="00592033" w:rsidRPr="00592033">
        <w:rPr>
          <w:szCs w:val="24"/>
        </w:rPr>
        <w:t xml:space="preserve"> Ellis at </w:t>
      </w:r>
      <w:hyperlink r:id="rId17" w:history="1">
        <w:r w:rsidR="00592033">
          <w:rPr>
            <w:rStyle w:val="Hyperlink"/>
            <w:szCs w:val="24"/>
          </w:rPr>
          <w:t>Joe.Ellis@nih.gov</w:t>
        </w:r>
      </w:hyperlink>
      <w:r w:rsidR="001651BC">
        <w:t xml:space="preserve"> and Michelle </w:t>
      </w:r>
      <w:r w:rsidR="00425FE4">
        <w:t xml:space="preserve">G. </w:t>
      </w:r>
      <w:r w:rsidR="001651BC">
        <w:t xml:space="preserve">Bulls, </w:t>
      </w:r>
      <w:hyperlink r:id="rId18" w:history="1">
        <w:r w:rsidR="001651BC" w:rsidRPr="001B7C75">
          <w:rPr>
            <w:rStyle w:val="Hyperlink"/>
          </w:rPr>
          <w:t>bullsmg@mail.nih.gov</w:t>
        </w:r>
      </w:hyperlink>
      <w:r w:rsidR="00592033" w:rsidRPr="00592033">
        <w:rPr>
          <w:szCs w:val="24"/>
        </w:rPr>
        <w:t xml:space="preserve">. </w:t>
      </w:r>
    </w:p>
    <w:p w:rsidR="00B5701F" w:rsidRDefault="00B5701F" w:rsidP="006B5930">
      <w:pPr>
        <w:pStyle w:val="Header"/>
        <w:rPr>
          <w:szCs w:val="24"/>
        </w:rPr>
      </w:pPr>
    </w:p>
    <w:p w:rsidR="005E42B2" w:rsidRDefault="005E42B2" w:rsidP="006B5930">
      <w:pPr>
        <w:pStyle w:val="Header"/>
        <w:rPr>
          <w:szCs w:val="24"/>
        </w:rPr>
      </w:pPr>
    </w:p>
    <w:p w:rsidR="005E42B2" w:rsidRDefault="005E42B2" w:rsidP="006B5930">
      <w:pPr>
        <w:pStyle w:val="Header"/>
        <w:rPr>
          <w:szCs w:val="24"/>
        </w:rPr>
      </w:pPr>
    </w:p>
    <w:p w:rsidR="00FD7189" w:rsidRDefault="00FD7189" w:rsidP="006B5930">
      <w:pPr>
        <w:pStyle w:val="Header"/>
        <w:rPr>
          <w:szCs w:val="24"/>
        </w:rPr>
      </w:pPr>
    </w:p>
    <w:p w:rsidR="00FD7189" w:rsidRDefault="00FA5F5C" w:rsidP="006B5930">
      <w:pPr>
        <w:pStyle w:val="Header"/>
        <w:rPr>
          <w:szCs w:val="24"/>
        </w:rPr>
      </w:pPr>
      <w:r>
        <w:rPr>
          <w:szCs w:val="24"/>
        </w:rPr>
        <w:t xml:space="preserve">      /s/</w:t>
      </w:r>
      <w:r>
        <w:rPr>
          <w:szCs w:val="24"/>
        </w:rPr>
        <w:tab/>
        <w:t>/s/</w:t>
      </w:r>
    </w:p>
    <w:p w:rsidR="005E42B2" w:rsidRDefault="005E42B2" w:rsidP="006B5930">
      <w:pPr>
        <w:pStyle w:val="Header"/>
        <w:rPr>
          <w:szCs w:val="24"/>
        </w:rPr>
      </w:pPr>
      <w:r>
        <w:rPr>
          <w:szCs w:val="24"/>
        </w:rPr>
        <w:t>__________________</w:t>
      </w:r>
      <w:r>
        <w:rPr>
          <w:szCs w:val="24"/>
        </w:rPr>
        <w:tab/>
        <w:t xml:space="preserve">                ___________________</w:t>
      </w:r>
    </w:p>
    <w:p w:rsidR="005E42B2" w:rsidRPr="00EF7FA0" w:rsidRDefault="005E42B2" w:rsidP="006B5930">
      <w:pPr>
        <w:pStyle w:val="Header"/>
        <w:rPr>
          <w:szCs w:val="24"/>
        </w:rPr>
      </w:pPr>
      <w:r>
        <w:rPr>
          <w:szCs w:val="24"/>
        </w:rPr>
        <w:t xml:space="preserve">Colleen Barros  </w:t>
      </w:r>
      <w:r>
        <w:rPr>
          <w:szCs w:val="24"/>
        </w:rPr>
        <w:tab/>
        <w:t xml:space="preserve">            Sally J. Rockey, Ph.D</w:t>
      </w:r>
    </w:p>
    <w:p w:rsidR="005E42B2" w:rsidRDefault="005E42B2" w:rsidP="00622788">
      <w:pPr>
        <w:tabs>
          <w:tab w:val="right" w:pos="8933"/>
        </w:tabs>
        <w:spacing w:before="252"/>
        <w:rPr>
          <w:szCs w:val="24"/>
        </w:rPr>
      </w:pPr>
    </w:p>
    <w:p w:rsidR="00B8381B" w:rsidRDefault="00B8381B" w:rsidP="00B5701F">
      <w:pPr>
        <w:pStyle w:val="Header"/>
        <w:rPr>
          <w:szCs w:val="24"/>
        </w:rPr>
      </w:pPr>
    </w:p>
    <w:p w:rsidR="007600B3" w:rsidRDefault="00046ABD">
      <w:pPr>
        <w:rPr>
          <w:sz w:val="22"/>
          <w:szCs w:val="22"/>
        </w:rPr>
      </w:pPr>
      <w:r w:rsidRPr="00046ABD">
        <w:rPr>
          <w:b/>
          <w:sz w:val="22"/>
          <w:szCs w:val="22"/>
        </w:rPr>
        <w:t>Attachment:</w:t>
      </w:r>
      <w:r w:rsidRPr="00046ABD">
        <w:rPr>
          <w:sz w:val="22"/>
          <w:szCs w:val="22"/>
        </w:rPr>
        <w:t xml:space="preserve"> </w:t>
      </w:r>
      <w:r w:rsidR="005E42B2">
        <w:rPr>
          <w:sz w:val="22"/>
          <w:szCs w:val="22"/>
        </w:rPr>
        <w:t xml:space="preserve"> </w:t>
      </w:r>
      <w:r w:rsidRPr="00046ABD">
        <w:rPr>
          <w:sz w:val="22"/>
          <w:szCs w:val="22"/>
        </w:rPr>
        <w:t>NIH Guidance Related to the HHS Policies on Promoting Efficient Spending</w:t>
      </w:r>
    </w:p>
    <w:p w:rsidR="00916E96" w:rsidRDefault="00916E96">
      <w:pPr>
        <w:rPr>
          <w:sz w:val="22"/>
          <w:szCs w:val="22"/>
        </w:rPr>
      </w:pPr>
    </w:p>
    <w:p w:rsidR="007600B3" w:rsidRDefault="007600B3">
      <w:pPr>
        <w:rPr>
          <w:sz w:val="22"/>
          <w:szCs w:val="22"/>
        </w:rPr>
      </w:pPr>
    </w:p>
    <w:p w:rsidR="007600B3" w:rsidRDefault="007600B3"/>
    <w:p w:rsidR="007600B3" w:rsidRDefault="007600B3"/>
    <w:p w:rsidR="007600B3" w:rsidRDefault="007600B3"/>
    <w:p w:rsidR="007600B3" w:rsidRDefault="00046ABD">
      <w:pPr>
        <w:jc w:val="right"/>
        <w:rPr>
          <w:b/>
          <w:szCs w:val="24"/>
          <w:u w:val="single"/>
        </w:rPr>
      </w:pPr>
      <w:r w:rsidRPr="00046ABD">
        <w:br w:type="page"/>
      </w:r>
    </w:p>
    <w:p w:rsidR="00FA5F5C" w:rsidRDefault="00FA5F5C" w:rsidP="004D1BB4">
      <w:pPr>
        <w:jc w:val="center"/>
        <w:rPr>
          <w:b/>
          <w:szCs w:val="24"/>
        </w:rPr>
      </w:pPr>
    </w:p>
    <w:p w:rsidR="00FA5F5C" w:rsidRDefault="00FA5F5C" w:rsidP="004D1BB4">
      <w:pPr>
        <w:jc w:val="center"/>
        <w:rPr>
          <w:b/>
          <w:szCs w:val="24"/>
        </w:rPr>
      </w:pPr>
    </w:p>
    <w:p w:rsidR="0009552C" w:rsidRPr="00FA5F5C" w:rsidRDefault="00592033" w:rsidP="004D1BB4">
      <w:pPr>
        <w:jc w:val="center"/>
        <w:rPr>
          <w:b/>
          <w:szCs w:val="24"/>
        </w:rPr>
      </w:pPr>
      <w:r w:rsidRPr="00FA5F5C">
        <w:rPr>
          <w:b/>
          <w:szCs w:val="24"/>
        </w:rPr>
        <w:t xml:space="preserve">NIH Implementation Guidance for </w:t>
      </w:r>
    </w:p>
    <w:p w:rsidR="0009552C" w:rsidRPr="00FA5F5C" w:rsidRDefault="00592033" w:rsidP="004D1BB4">
      <w:pPr>
        <w:jc w:val="center"/>
        <w:rPr>
          <w:b/>
          <w:szCs w:val="24"/>
        </w:rPr>
      </w:pPr>
      <w:r w:rsidRPr="00FA5F5C">
        <w:rPr>
          <w:b/>
          <w:szCs w:val="24"/>
        </w:rPr>
        <w:t xml:space="preserve">The Department of Health and Human Services (DHHS) </w:t>
      </w:r>
    </w:p>
    <w:p w:rsidR="007600B3" w:rsidRPr="00FA5F5C" w:rsidRDefault="00592033" w:rsidP="004D1BB4">
      <w:pPr>
        <w:jc w:val="center"/>
        <w:rPr>
          <w:b/>
          <w:szCs w:val="24"/>
        </w:rPr>
      </w:pPr>
      <w:r w:rsidRPr="00FA5F5C">
        <w:rPr>
          <w:b/>
          <w:szCs w:val="24"/>
        </w:rPr>
        <w:t>Policies on Promoting Efficient Spending</w:t>
      </w:r>
    </w:p>
    <w:p w:rsidR="00966E41" w:rsidRDefault="00966E41" w:rsidP="004D1BB4">
      <w:pPr>
        <w:jc w:val="center"/>
        <w:rPr>
          <w:b/>
          <w:sz w:val="22"/>
          <w:szCs w:val="22"/>
        </w:rPr>
      </w:pPr>
    </w:p>
    <w:p w:rsidR="00FA5F5C" w:rsidRPr="00FA5F5C" w:rsidRDefault="00FA5F5C" w:rsidP="004D1BB4">
      <w:pPr>
        <w:jc w:val="center"/>
        <w:rPr>
          <w:b/>
          <w:sz w:val="22"/>
          <w:szCs w:val="22"/>
        </w:rPr>
      </w:pPr>
    </w:p>
    <w:p w:rsidR="006E0D17" w:rsidRPr="00FA5F5C" w:rsidRDefault="00592033" w:rsidP="007D4DC1">
      <w:pPr>
        <w:pStyle w:val="Heading1"/>
        <w:spacing w:after="0"/>
        <w:rPr>
          <w:sz w:val="22"/>
          <w:szCs w:val="22"/>
        </w:rPr>
      </w:pPr>
      <w:r w:rsidRPr="00FA5F5C">
        <w:rPr>
          <w:sz w:val="22"/>
          <w:szCs w:val="22"/>
        </w:rPr>
        <w:t xml:space="preserve">Use of Appropriated Funds for Conferences, Meetings, Meeting Space and Associated Food </w:t>
      </w:r>
    </w:p>
    <w:p w:rsidR="00FA5F5C" w:rsidRDefault="00FA5F5C" w:rsidP="00966E41">
      <w:pPr>
        <w:outlineLvl w:val="0"/>
        <w:rPr>
          <w:b/>
          <w:bCs/>
          <w:kern w:val="36"/>
          <w:sz w:val="22"/>
          <w:szCs w:val="22"/>
        </w:rPr>
      </w:pPr>
    </w:p>
    <w:p w:rsidR="007600B3" w:rsidRDefault="00EC4609" w:rsidP="00966E41">
      <w:pPr>
        <w:outlineLvl w:val="0"/>
        <w:rPr>
          <w:b/>
          <w:bCs/>
          <w:kern w:val="36"/>
          <w:sz w:val="22"/>
          <w:szCs w:val="22"/>
        </w:rPr>
      </w:pPr>
      <w:r w:rsidRPr="00FA5F5C">
        <w:rPr>
          <w:b/>
          <w:bCs/>
          <w:kern w:val="36"/>
          <w:sz w:val="22"/>
          <w:szCs w:val="22"/>
        </w:rPr>
        <w:t xml:space="preserve">(Reference </w:t>
      </w:r>
      <w:hyperlink r:id="rId19" w:history="1">
        <w:r w:rsidRPr="00FA5F5C">
          <w:rPr>
            <w:rStyle w:val="Hyperlink"/>
            <w:b/>
            <w:bCs/>
            <w:kern w:val="36"/>
            <w:sz w:val="22"/>
            <w:szCs w:val="22"/>
          </w:rPr>
          <w:t>http://www.hhs.gov/asfr/ogapa/acquisition/appfundspol_att1.html</w:t>
        </w:r>
      </w:hyperlink>
      <w:r w:rsidRPr="00FA5F5C">
        <w:rPr>
          <w:b/>
          <w:bCs/>
          <w:kern w:val="36"/>
          <w:sz w:val="22"/>
          <w:szCs w:val="22"/>
        </w:rPr>
        <w:t>)</w:t>
      </w:r>
    </w:p>
    <w:p w:rsidR="00FA5F5C" w:rsidRPr="00FA5F5C" w:rsidRDefault="00FA5F5C" w:rsidP="00966E41">
      <w:pPr>
        <w:outlineLvl w:val="0"/>
        <w:rPr>
          <w:b/>
          <w:bCs/>
          <w:kern w:val="36"/>
          <w:sz w:val="22"/>
          <w:szCs w:val="22"/>
        </w:rPr>
      </w:pPr>
    </w:p>
    <w:p w:rsidR="008C0023" w:rsidRPr="00FA5F5C" w:rsidRDefault="00E37849" w:rsidP="003615F5">
      <w:pPr>
        <w:pStyle w:val="Header"/>
        <w:rPr>
          <w:sz w:val="22"/>
          <w:szCs w:val="22"/>
        </w:rPr>
      </w:pPr>
      <w:r w:rsidRPr="00FA5F5C">
        <w:rPr>
          <w:sz w:val="22"/>
          <w:szCs w:val="22"/>
        </w:rPr>
        <w:t xml:space="preserve">This section addresses </w:t>
      </w:r>
      <w:r w:rsidR="0009552C" w:rsidRPr="00FA5F5C">
        <w:rPr>
          <w:sz w:val="22"/>
          <w:szCs w:val="22"/>
        </w:rPr>
        <w:t xml:space="preserve">new requirements with respect to </w:t>
      </w:r>
      <w:r w:rsidRPr="00FA5F5C">
        <w:rPr>
          <w:sz w:val="22"/>
          <w:szCs w:val="22"/>
        </w:rPr>
        <w:t>conferences and meetings</w:t>
      </w:r>
      <w:r w:rsidR="004D1BB4" w:rsidRPr="00FA5F5C">
        <w:rPr>
          <w:sz w:val="22"/>
          <w:szCs w:val="22"/>
        </w:rPr>
        <w:t xml:space="preserve"> </w:t>
      </w:r>
      <w:r w:rsidR="0009552C" w:rsidRPr="00FA5F5C">
        <w:rPr>
          <w:sz w:val="22"/>
          <w:szCs w:val="22"/>
        </w:rPr>
        <w:t>done via grant o</w:t>
      </w:r>
      <w:r w:rsidR="00B055EA" w:rsidRPr="00FA5F5C">
        <w:rPr>
          <w:sz w:val="22"/>
          <w:szCs w:val="22"/>
        </w:rPr>
        <w:t>r</w:t>
      </w:r>
      <w:r w:rsidR="0009552C" w:rsidRPr="00FA5F5C">
        <w:rPr>
          <w:sz w:val="22"/>
          <w:szCs w:val="22"/>
        </w:rPr>
        <w:t xml:space="preserve"> acquisition mechanism</w:t>
      </w:r>
      <w:r w:rsidR="00966E41" w:rsidRPr="00FA5F5C">
        <w:rPr>
          <w:sz w:val="22"/>
          <w:szCs w:val="22"/>
        </w:rPr>
        <w:t>s</w:t>
      </w:r>
      <w:r w:rsidR="0009552C" w:rsidRPr="00FA5F5C">
        <w:rPr>
          <w:sz w:val="22"/>
          <w:szCs w:val="22"/>
        </w:rPr>
        <w:t>.</w:t>
      </w:r>
      <w:r w:rsidR="00265D08" w:rsidRPr="00FA5F5C">
        <w:rPr>
          <w:sz w:val="22"/>
          <w:szCs w:val="22"/>
        </w:rPr>
        <w:t xml:space="preserve">  </w:t>
      </w:r>
    </w:p>
    <w:p w:rsidR="00BE782B" w:rsidRPr="00FA5F5C" w:rsidRDefault="0009552C" w:rsidP="00724FF4">
      <w:pPr>
        <w:pStyle w:val="Heading2"/>
        <w:rPr>
          <w:rFonts w:ascii="Times New Roman" w:hAnsi="Times New Roman" w:cs="Times New Roman"/>
          <w:b w:val="0"/>
          <w:color w:val="auto"/>
          <w:sz w:val="22"/>
          <w:szCs w:val="22"/>
        </w:rPr>
      </w:pPr>
      <w:proofErr w:type="gramStart"/>
      <w:r w:rsidRPr="00FA5F5C">
        <w:rPr>
          <w:rFonts w:ascii="Times New Roman" w:hAnsi="Times New Roman" w:cs="Times New Roman"/>
          <w:color w:val="auto"/>
          <w:sz w:val="22"/>
          <w:szCs w:val="22"/>
          <w:u w:val="single"/>
        </w:rPr>
        <w:t>Definitions</w:t>
      </w:r>
      <w:r w:rsidRPr="00FA5F5C">
        <w:rPr>
          <w:rFonts w:ascii="Times New Roman" w:hAnsi="Times New Roman" w:cs="Times New Roman"/>
          <w:color w:val="auto"/>
          <w:sz w:val="22"/>
          <w:szCs w:val="22"/>
        </w:rPr>
        <w:t>.</w:t>
      </w:r>
      <w:proofErr w:type="gramEnd"/>
      <w:r w:rsidRPr="00FA5F5C">
        <w:rPr>
          <w:rFonts w:ascii="Times New Roman" w:hAnsi="Times New Roman" w:cs="Times New Roman"/>
          <w:color w:val="auto"/>
          <w:sz w:val="22"/>
          <w:szCs w:val="22"/>
        </w:rPr>
        <w:t xml:space="preserve"> </w:t>
      </w:r>
      <w:r w:rsidR="00BE782B" w:rsidRPr="00FA5F5C">
        <w:rPr>
          <w:rFonts w:ascii="Times New Roman" w:hAnsi="Times New Roman" w:cs="Times New Roman"/>
          <w:b w:val="0"/>
          <w:color w:val="auto"/>
          <w:sz w:val="22"/>
          <w:szCs w:val="22"/>
        </w:rPr>
        <w:t xml:space="preserve">The following </w:t>
      </w:r>
      <w:r w:rsidRPr="00FA5F5C">
        <w:rPr>
          <w:rFonts w:ascii="Times New Roman" w:hAnsi="Times New Roman" w:cs="Times New Roman"/>
          <w:b w:val="0"/>
          <w:color w:val="auto"/>
          <w:sz w:val="22"/>
          <w:szCs w:val="22"/>
        </w:rPr>
        <w:t xml:space="preserve">DHHS </w:t>
      </w:r>
      <w:r w:rsidR="00BE782B" w:rsidRPr="00FA5F5C">
        <w:rPr>
          <w:rFonts w:ascii="Times New Roman" w:hAnsi="Times New Roman" w:cs="Times New Roman"/>
          <w:b w:val="0"/>
          <w:color w:val="auto"/>
          <w:sz w:val="22"/>
          <w:szCs w:val="22"/>
        </w:rPr>
        <w:t>definitions apply in determining whether an event is a conference or a meeting:</w:t>
      </w:r>
    </w:p>
    <w:p w:rsidR="00BE782B" w:rsidRPr="00FA5F5C" w:rsidRDefault="00BE782B" w:rsidP="00724FF4">
      <w:pPr>
        <w:pStyle w:val="NormalWeb"/>
        <w:numPr>
          <w:ilvl w:val="2"/>
          <w:numId w:val="7"/>
        </w:numPr>
        <w:rPr>
          <w:sz w:val="22"/>
          <w:szCs w:val="22"/>
        </w:rPr>
      </w:pPr>
      <w:r w:rsidRPr="00FA5F5C">
        <w:rPr>
          <w:sz w:val="22"/>
          <w:szCs w:val="22"/>
        </w:rPr>
        <w:t>A conference is a symposium, seminar, workshop, advisory committee  meeting or any other organized and formal meeting, whether conducted face-to-face or via the Internet, where individuals assemble (or meet virtually) to exchange information and views or explore or clarify a defined subject, problem, or area of knowledge, whether or not a published report results from such meeting.</w:t>
      </w:r>
    </w:p>
    <w:p w:rsidR="00BE782B" w:rsidRPr="00FA5F5C" w:rsidRDefault="00BE782B" w:rsidP="00724FF4">
      <w:pPr>
        <w:pStyle w:val="NormalWeb"/>
        <w:numPr>
          <w:ilvl w:val="2"/>
          <w:numId w:val="7"/>
        </w:numPr>
        <w:rPr>
          <w:sz w:val="22"/>
          <w:szCs w:val="22"/>
        </w:rPr>
      </w:pPr>
      <w:r w:rsidRPr="00FA5F5C">
        <w:rPr>
          <w:sz w:val="22"/>
          <w:szCs w:val="22"/>
        </w:rPr>
        <w:t>A meeting where a gathering discusses general matters as part of a normal course of doing business is not considered a conference.</w:t>
      </w:r>
    </w:p>
    <w:p w:rsidR="00B055EA" w:rsidRPr="00FA5F5C" w:rsidRDefault="0009552C" w:rsidP="00724FF4">
      <w:pPr>
        <w:pStyle w:val="Header"/>
        <w:ind w:left="1440"/>
        <w:rPr>
          <w:sz w:val="22"/>
          <w:szCs w:val="22"/>
        </w:rPr>
      </w:pPr>
      <w:r w:rsidRPr="00FA5F5C">
        <w:rPr>
          <w:sz w:val="22"/>
          <w:szCs w:val="22"/>
        </w:rPr>
        <w:t>D</w:t>
      </w:r>
      <w:r w:rsidR="001B7C75" w:rsidRPr="00FA5F5C">
        <w:rPr>
          <w:sz w:val="22"/>
          <w:szCs w:val="22"/>
        </w:rPr>
        <w:t>HHS has confirmed that</w:t>
      </w:r>
      <w:r w:rsidR="00BE782B" w:rsidRPr="00FA5F5C">
        <w:rPr>
          <w:sz w:val="22"/>
          <w:szCs w:val="22"/>
        </w:rPr>
        <w:t xml:space="preserve"> NIH peer review meetings and NIH</w:t>
      </w:r>
      <w:r w:rsidR="001B7C75" w:rsidRPr="00FA5F5C">
        <w:rPr>
          <w:sz w:val="22"/>
          <w:szCs w:val="22"/>
        </w:rPr>
        <w:t xml:space="preserve"> Advisory Council/Committee meetings are categorized as meetings, not conferences.</w:t>
      </w:r>
      <w:r w:rsidR="00B055EA" w:rsidRPr="00FA5F5C">
        <w:rPr>
          <w:sz w:val="22"/>
          <w:szCs w:val="22"/>
        </w:rPr>
        <w:t xml:space="preserve">  </w:t>
      </w:r>
      <w:r w:rsidR="00B055EA" w:rsidRPr="00FA5F5C">
        <w:rPr>
          <w:rStyle w:val="headerchar0"/>
          <w:sz w:val="22"/>
          <w:szCs w:val="22"/>
        </w:rPr>
        <w:t xml:space="preserve">Steering Committee meetings </w:t>
      </w:r>
      <w:r w:rsidR="00517CFE" w:rsidRPr="00FA5F5C">
        <w:rPr>
          <w:rStyle w:val="headerchar0"/>
          <w:sz w:val="22"/>
          <w:szCs w:val="22"/>
        </w:rPr>
        <w:t>and DSMB</w:t>
      </w:r>
      <w:r w:rsidR="00B055EA" w:rsidRPr="00FA5F5C">
        <w:rPr>
          <w:rStyle w:val="headerchar0"/>
          <w:sz w:val="22"/>
          <w:szCs w:val="22"/>
        </w:rPr>
        <w:t>/OSMB meetings are also categorized as meetings.</w:t>
      </w:r>
    </w:p>
    <w:p w:rsidR="004D1BB4" w:rsidRDefault="004D1BB4" w:rsidP="004D1BB4">
      <w:pPr>
        <w:pStyle w:val="Heading2"/>
        <w:rPr>
          <w:rFonts w:ascii="Times New Roman" w:hAnsi="Times New Roman" w:cs="Times New Roman"/>
          <w:color w:val="auto"/>
          <w:sz w:val="22"/>
          <w:szCs w:val="22"/>
        </w:rPr>
      </w:pPr>
      <w:r w:rsidRPr="00FA5F5C">
        <w:rPr>
          <w:rFonts w:ascii="Times New Roman" w:hAnsi="Times New Roman" w:cs="Times New Roman"/>
          <w:color w:val="auto"/>
          <w:sz w:val="22"/>
          <w:szCs w:val="22"/>
          <w:u w:val="single"/>
        </w:rPr>
        <w:t>Reporting and Approval Requirements</w:t>
      </w:r>
      <w:r w:rsidRPr="00FA5F5C">
        <w:rPr>
          <w:rFonts w:ascii="Times New Roman" w:hAnsi="Times New Roman" w:cs="Times New Roman"/>
          <w:b w:val="0"/>
          <w:color w:val="auto"/>
          <w:sz w:val="22"/>
          <w:szCs w:val="22"/>
        </w:rPr>
        <w:t>:  The DHHS Policy on Use of Appropriated Funds for Conferences and Meeting space has different requirements for Reporting and/or Approval of Space depending on whether an event is defined as a meeting or a conference, and whether the event is in federal or non-federal space (i.e.,  in acquired space).  The matrix below summarizes the policy which will be addressed in greater detail below</w:t>
      </w:r>
      <w:r w:rsidR="00966E41" w:rsidRPr="00FA5F5C">
        <w:rPr>
          <w:rFonts w:ascii="Times New Roman" w:hAnsi="Times New Roman" w:cs="Times New Roman"/>
          <w:color w:val="auto"/>
          <w:sz w:val="22"/>
          <w:szCs w:val="22"/>
        </w:rPr>
        <w:t>.</w:t>
      </w:r>
    </w:p>
    <w:p w:rsidR="00FA5F5C" w:rsidRPr="00FA5F5C" w:rsidRDefault="00FA5F5C" w:rsidP="00FA5F5C"/>
    <w:p w:rsidR="00966E41" w:rsidRPr="00FA5F5C" w:rsidRDefault="00966E41" w:rsidP="00966E41">
      <w:pPr>
        <w:rPr>
          <w:sz w:val="22"/>
          <w:szCs w:val="22"/>
        </w:rPr>
      </w:pPr>
    </w:p>
    <w:tbl>
      <w:tblPr>
        <w:tblStyle w:val="TableGrid"/>
        <w:tblpPr w:leftFromText="180" w:rightFromText="180" w:vertAnchor="text" w:horzAnchor="margin" w:tblpXSpec="center" w:tblpY="7"/>
        <w:tblW w:w="0" w:type="auto"/>
        <w:tblLook w:val="04A0"/>
      </w:tblPr>
      <w:tblGrid>
        <w:gridCol w:w="5418"/>
        <w:gridCol w:w="1899"/>
        <w:gridCol w:w="1899"/>
      </w:tblGrid>
      <w:tr w:rsidR="004D1BB4" w:rsidRPr="00FA5F5C" w:rsidTr="004D1BB4">
        <w:tc>
          <w:tcPr>
            <w:tcW w:w="5418" w:type="dxa"/>
            <w:vAlign w:val="center"/>
          </w:tcPr>
          <w:p w:rsidR="004D1BB4" w:rsidRPr="00FA5F5C" w:rsidRDefault="004D1BB4" w:rsidP="004D1BB4">
            <w:pPr>
              <w:pStyle w:val="ListParagraph"/>
              <w:ind w:left="0"/>
              <w:jc w:val="center"/>
              <w:rPr>
                <w:rFonts w:ascii="Times New Roman" w:hAnsi="Times New Roman" w:cs="Times New Roman"/>
                <w:b/>
              </w:rPr>
            </w:pPr>
            <w:r w:rsidRPr="00FA5F5C">
              <w:rPr>
                <w:rFonts w:ascii="Times New Roman" w:hAnsi="Times New Roman" w:cs="Times New Roman"/>
                <w:b/>
              </w:rPr>
              <w:t>Event Description</w:t>
            </w:r>
          </w:p>
        </w:tc>
        <w:tc>
          <w:tcPr>
            <w:tcW w:w="1899" w:type="dxa"/>
          </w:tcPr>
          <w:p w:rsidR="004D1BB4" w:rsidRPr="00FA5F5C" w:rsidRDefault="004D1BB4" w:rsidP="004D1BB4">
            <w:pPr>
              <w:pStyle w:val="ListParagraph"/>
              <w:ind w:left="0"/>
              <w:jc w:val="center"/>
              <w:rPr>
                <w:rFonts w:ascii="Times New Roman" w:hAnsi="Times New Roman" w:cs="Times New Roman"/>
                <w:b/>
              </w:rPr>
            </w:pPr>
            <w:r w:rsidRPr="00FA5F5C">
              <w:rPr>
                <w:rFonts w:ascii="Times New Roman" w:hAnsi="Times New Roman" w:cs="Times New Roman"/>
                <w:b/>
              </w:rPr>
              <w:t>Approval Requirement</w:t>
            </w:r>
          </w:p>
        </w:tc>
        <w:tc>
          <w:tcPr>
            <w:tcW w:w="1899" w:type="dxa"/>
          </w:tcPr>
          <w:p w:rsidR="004D1BB4" w:rsidRPr="00FA5F5C" w:rsidRDefault="004D1BB4" w:rsidP="004D1BB4">
            <w:pPr>
              <w:pStyle w:val="ListParagraph"/>
              <w:ind w:left="0"/>
              <w:jc w:val="center"/>
              <w:rPr>
                <w:rFonts w:ascii="Times New Roman" w:hAnsi="Times New Roman" w:cs="Times New Roman"/>
                <w:b/>
              </w:rPr>
            </w:pPr>
            <w:r w:rsidRPr="00FA5F5C">
              <w:rPr>
                <w:rFonts w:ascii="Times New Roman" w:hAnsi="Times New Roman" w:cs="Times New Roman"/>
                <w:b/>
              </w:rPr>
              <w:t>Reporting Requirement</w:t>
            </w:r>
          </w:p>
        </w:tc>
      </w:tr>
      <w:tr w:rsidR="004D1BB4" w:rsidRPr="00FA5F5C" w:rsidTr="004D1BB4">
        <w:tc>
          <w:tcPr>
            <w:tcW w:w="5418" w:type="dxa"/>
          </w:tcPr>
          <w:p w:rsidR="004D1BB4" w:rsidRPr="00FA5F5C" w:rsidRDefault="004D1BB4" w:rsidP="004D1BB4">
            <w:pPr>
              <w:pStyle w:val="ListParagraph"/>
              <w:ind w:left="0"/>
              <w:rPr>
                <w:rFonts w:ascii="Times New Roman" w:hAnsi="Times New Roman" w:cs="Times New Roman"/>
              </w:rPr>
            </w:pPr>
            <w:r w:rsidRPr="00FA5F5C">
              <w:rPr>
                <w:rFonts w:ascii="Times New Roman" w:hAnsi="Times New Roman" w:cs="Times New Roman"/>
              </w:rPr>
              <w:t xml:space="preserve">Meetings in Federal Space  </w:t>
            </w:r>
          </w:p>
          <w:p w:rsidR="004D1BB4" w:rsidRPr="00FA5F5C" w:rsidRDefault="004D1BB4" w:rsidP="004D1BB4">
            <w:pPr>
              <w:pStyle w:val="ListParagraph"/>
              <w:ind w:left="0"/>
              <w:rPr>
                <w:rFonts w:ascii="Times New Roman" w:hAnsi="Times New Roman" w:cs="Times New Roman"/>
              </w:rPr>
            </w:pPr>
            <w:r w:rsidRPr="00FA5F5C">
              <w:rPr>
                <w:rFonts w:ascii="Times New Roman" w:hAnsi="Times New Roman" w:cs="Times New Roman"/>
              </w:rPr>
              <w:t xml:space="preserve">   - No HHS Funds Required/Obligated</w:t>
            </w:r>
          </w:p>
        </w:tc>
        <w:tc>
          <w:tcPr>
            <w:tcW w:w="1899" w:type="dxa"/>
            <w:vAlign w:val="center"/>
          </w:tcPr>
          <w:p w:rsidR="004D1BB4" w:rsidRPr="00FA5F5C" w:rsidRDefault="004D1BB4" w:rsidP="004D1BB4">
            <w:pPr>
              <w:pStyle w:val="ListParagraph"/>
              <w:ind w:left="0"/>
              <w:jc w:val="center"/>
              <w:rPr>
                <w:rFonts w:ascii="Times New Roman" w:hAnsi="Times New Roman" w:cs="Times New Roman"/>
              </w:rPr>
            </w:pPr>
            <w:r w:rsidRPr="00FA5F5C">
              <w:rPr>
                <w:rFonts w:ascii="Times New Roman" w:hAnsi="Times New Roman" w:cs="Times New Roman"/>
              </w:rPr>
              <w:t>No</w:t>
            </w:r>
          </w:p>
        </w:tc>
        <w:tc>
          <w:tcPr>
            <w:tcW w:w="1899" w:type="dxa"/>
            <w:vAlign w:val="center"/>
          </w:tcPr>
          <w:p w:rsidR="004D1BB4" w:rsidRPr="00FA5F5C" w:rsidRDefault="004D1BB4" w:rsidP="004D1BB4">
            <w:pPr>
              <w:pStyle w:val="ListParagraph"/>
              <w:ind w:left="0"/>
              <w:jc w:val="center"/>
              <w:rPr>
                <w:rFonts w:ascii="Times New Roman" w:hAnsi="Times New Roman" w:cs="Times New Roman"/>
              </w:rPr>
            </w:pPr>
            <w:r w:rsidRPr="00FA5F5C">
              <w:rPr>
                <w:rFonts w:ascii="Times New Roman" w:hAnsi="Times New Roman" w:cs="Times New Roman"/>
              </w:rPr>
              <w:t>No</w:t>
            </w:r>
          </w:p>
        </w:tc>
      </w:tr>
      <w:tr w:rsidR="004D1BB4" w:rsidRPr="00FA5F5C" w:rsidTr="004D1BB4">
        <w:tc>
          <w:tcPr>
            <w:tcW w:w="5418" w:type="dxa"/>
          </w:tcPr>
          <w:p w:rsidR="004D1BB4" w:rsidRPr="00FA5F5C" w:rsidRDefault="004D1BB4" w:rsidP="004D1BB4">
            <w:pPr>
              <w:pStyle w:val="ListParagraph"/>
              <w:ind w:left="0"/>
              <w:rPr>
                <w:rFonts w:ascii="Times New Roman" w:hAnsi="Times New Roman" w:cs="Times New Roman"/>
              </w:rPr>
            </w:pPr>
            <w:r w:rsidRPr="00FA5F5C">
              <w:rPr>
                <w:rFonts w:ascii="Times New Roman" w:hAnsi="Times New Roman" w:cs="Times New Roman"/>
              </w:rPr>
              <w:t>Meetings in Federal Space</w:t>
            </w:r>
          </w:p>
          <w:p w:rsidR="004D1BB4" w:rsidRPr="00FA5F5C" w:rsidRDefault="004D1BB4" w:rsidP="004D1BB4">
            <w:pPr>
              <w:rPr>
                <w:rFonts w:ascii="Times New Roman" w:hAnsi="Times New Roman" w:cs="Times New Roman"/>
              </w:rPr>
            </w:pPr>
            <w:r w:rsidRPr="00FA5F5C">
              <w:rPr>
                <w:rFonts w:ascii="Times New Roman" w:hAnsi="Times New Roman" w:cs="Times New Roman"/>
              </w:rPr>
              <w:t xml:space="preserve">   - HHS Funds Required/Obligated</w:t>
            </w:r>
          </w:p>
        </w:tc>
        <w:tc>
          <w:tcPr>
            <w:tcW w:w="1899" w:type="dxa"/>
            <w:vAlign w:val="center"/>
          </w:tcPr>
          <w:p w:rsidR="004D1BB4" w:rsidRPr="00FA5F5C" w:rsidRDefault="004D1BB4" w:rsidP="004D1BB4">
            <w:pPr>
              <w:pStyle w:val="ListParagraph"/>
              <w:ind w:left="0"/>
              <w:jc w:val="center"/>
              <w:rPr>
                <w:rFonts w:ascii="Times New Roman" w:hAnsi="Times New Roman" w:cs="Times New Roman"/>
              </w:rPr>
            </w:pPr>
            <w:r w:rsidRPr="00FA5F5C">
              <w:rPr>
                <w:rFonts w:ascii="Times New Roman" w:hAnsi="Times New Roman" w:cs="Times New Roman"/>
              </w:rPr>
              <w:t>No</w:t>
            </w:r>
          </w:p>
        </w:tc>
        <w:tc>
          <w:tcPr>
            <w:tcW w:w="1899" w:type="dxa"/>
            <w:vAlign w:val="center"/>
          </w:tcPr>
          <w:p w:rsidR="004D1BB4" w:rsidRPr="00FA5F5C" w:rsidRDefault="004D1BB4" w:rsidP="004D1BB4">
            <w:pPr>
              <w:pStyle w:val="ListParagraph"/>
              <w:ind w:left="0"/>
              <w:jc w:val="center"/>
              <w:rPr>
                <w:rFonts w:ascii="Times New Roman" w:hAnsi="Times New Roman" w:cs="Times New Roman"/>
              </w:rPr>
            </w:pPr>
            <w:r w:rsidRPr="00FA5F5C">
              <w:rPr>
                <w:rFonts w:ascii="Times New Roman" w:hAnsi="Times New Roman" w:cs="Times New Roman"/>
              </w:rPr>
              <w:t>No</w:t>
            </w:r>
          </w:p>
        </w:tc>
      </w:tr>
      <w:tr w:rsidR="004D1BB4" w:rsidRPr="00FA5F5C" w:rsidTr="004D1BB4">
        <w:tc>
          <w:tcPr>
            <w:tcW w:w="5418" w:type="dxa"/>
          </w:tcPr>
          <w:p w:rsidR="004D1BB4" w:rsidRPr="00FA5F5C" w:rsidRDefault="004D1BB4" w:rsidP="004D1BB4">
            <w:pPr>
              <w:pStyle w:val="ListParagraph"/>
              <w:ind w:left="0"/>
              <w:rPr>
                <w:rFonts w:ascii="Times New Roman" w:hAnsi="Times New Roman" w:cs="Times New Roman"/>
              </w:rPr>
            </w:pPr>
            <w:r w:rsidRPr="00FA5F5C">
              <w:rPr>
                <w:rFonts w:ascii="Times New Roman" w:hAnsi="Times New Roman" w:cs="Times New Roman"/>
              </w:rPr>
              <w:t>Meetings in Non-Federal Space</w:t>
            </w:r>
          </w:p>
          <w:p w:rsidR="004D1BB4" w:rsidRPr="00FA5F5C" w:rsidRDefault="004D1BB4" w:rsidP="004D1BB4">
            <w:pPr>
              <w:pStyle w:val="ListParagraph"/>
              <w:ind w:left="0"/>
              <w:rPr>
                <w:rFonts w:ascii="Times New Roman" w:hAnsi="Times New Roman" w:cs="Times New Roman"/>
              </w:rPr>
            </w:pPr>
            <w:r w:rsidRPr="00FA5F5C">
              <w:rPr>
                <w:rFonts w:ascii="Times New Roman" w:hAnsi="Times New Roman" w:cs="Times New Roman"/>
              </w:rPr>
              <w:t xml:space="preserve">   - No HHS Funds Required/Obligated</w:t>
            </w:r>
          </w:p>
        </w:tc>
        <w:tc>
          <w:tcPr>
            <w:tcW w:w="1899" w:type="dxa"/>
            <w:vAlign w:val="center"/>
          </w:tcPr>
          <w:p w:rsidR="004D1BB4" w:rsidRPr="00FA5F5C" w:rsidRDefault="004D1BB4" w:rsidP="004D1BB4">
            <w:pPr>
              <w:pStyle w:val="ListParagraph"/>
              <w:ind w:left="0"/>
              <w:jc w:val="center"/>
              <w:rPr>
                <w:rFonts w:ascii="Times New Roman" w:hAnsi="Times New Roman" w:cs="Times New Roman"/>
              </w:rPr>
            </w:pPr>
            <w:r w:rsidRPr="00FA5F5C">
              <w:rPr>
                <w:rFonts w:ascii="Times New Roman" w:hAnsi="Times New Roman" w:cs="Times New Roman"/>
              </w:rPr>
              <w:t>No</w:t>
            </w:r>
          </w:p>
        </w:tc>
        <w:tc>
          <w:tcPr>
            <w:tcW w:w="1899" w:type="dxa"/>
            <w:vAlign w:val="center"/>
          </w:tcPr>
          <w:p w:rsidR="004D1BB4" w:rsidRPr="00FA5F5C" w:rsidRDefault="004D1BB4" w:rsidP="004D1BB4">
            <w:pPr>
              <w:pStyle w:val="ListParagraph"/>
              <w:ind w:left="0"/>
              <w:jc w:val="center"/>
              <w:rPr>
                <w:rFonts w:ascii="Times New Roman" w:hAnsi="Times New Roman" w:cs="Times New Roman"/>
              </w:rPr>
            </w:pPr>
            <w:r w:rsidRPr="00FA5F5C">
              <w:rPr>
                <w:rFonts w:ascii="Times New Roman" w:hAnsi="Times New Roman" w:cs="Times New Roman"/>
              </w:rPr>
              <w:t>No</w:t>
            </w:r>
          </w:p>
        </w:tc>
      </w:tr>
      <w:tr w:rsidR="004D1BB4" w:rsidRPr="00FA5F5C" w:rsidTr="004D1BB4">
        <w:tc>
          <w:tcPr>
            <w:tcW w:w="5418" w:type="dxa"/>
          </w:tcPr>
          <w:p w:rsidR="004D1BB4" w:rsidRPr="00FA5F5C" w:rsidRDefault="004D1BB4" w:rsidP="004D1BB4">
            <w:pPr>
              <w:pStyle w:val="ListParagraph"/>
              <w:ind w:left="0"/>
              <w:rPr>
                <w:rFonts w:ascii="Times New Roman" w:hAnsi="Times New Roman" w:cs="Times New Roman"/>
              </w:rPr>
            </w:pPr>
            <w:r w:rsidRPr="00FA5F5C">
              <w:rPr>
                <w:rFonts w:ascii="Times New Roman" w:hAnsi="Times New Roman" w:cs="Times New Roman"/>
              </w:rPr>
              <w:t>Meetings in Non-Federal Space</w:t>
            </w:r>
          </w:p>
          <w:p w:rsidR="004D1BB4" w:rsidRPr="00FA5F5C" w:rsidRDefault="004D1BB4" w:rsidP="004D1BB4">
            <w:pPr>
              <w:pStyle w:val="ListParagraph"/>
              <w:ind w:left="0"/>
              <w:rPr>
                <w:rFonts w:ascii="Times New Roman" w:hAnsi="Times New Roman" w:cs="Times New Roman"/>
              </w:rPr>
            </w:pPr>
            <w:r w:rsidRPr="00FA5F5C">
              <w:rPr>
                <w:rFonts w:ascii="Times New Roman" w:hAnsi="Times New Roman" w:cs="Times New Roman"/>
              </w:rPr>
              <w:t xml:space="preserve">   - HHS Funds Required/Obligated</w:t>
            </w:r>
          </w:p>
        </w:tc>
        <w:tc>
          <w:tcPr>
            <w:tcW w:w="1899" w:type="dxa"/>
            <w:vAlign w:val="center"/>
          </w:tcPr>
          <w:p w:rsidR="004D1BB4" w:rsidRPr="00FA5F5C" w:rsidRDefault="004D1BB4" w:rsidP="004D1BB4">
            <w:pPr>
              <w:pStyle w:val="ListParagraph"/>
              <w:ind w:left="0"/>
              <w:jc w:val="center"/>
              <w:rPr>
                <w:rFonts w:ascii="Times New Roman" w:hAnsi="Times New Roman" w:cs="Times New Roman"/>
              </w:rPr>
            </w:pPr>
            <w:r w:rsidRPr="00FA5F5C">
              <w:rPr>
                <w:rFonts w:ascii="Times New Roman" w:hAnsi="Times New Roman" w:cs="Times New Roman"/>
              </w:rPr>
              <w:t>Yes</w:t>
            </w:r>
          </w:p>
        </w:tc>
        <w:tc>
          <w:tcPr>
            <w:tcW w:w="1899" w:type="dxa"/>
            <w:vAlign w:val="center"/>
          </w:tcPr>
          <w:p w:rsidR="004D1BB4" w:rsidRPr="00FA5F5C" w:rsidRDefault="004D1BB4" w:rsidP="004D1BB4">
            <w:pPr>
              <w:pStyle w:val="ListParagraph"/>
              <w:ind w:left="0"/>
              <w:jc w:val="center"/>
              <w:rPr>
                <w:rFonts w:ascii="Times New Roman" w:hAnsi="Times New Roman" w:cs="Times New Roman"/>
              </w:rPr>
            </w:pPr>
            <w:r w:rsidRPr="00FA5F5C">
              <w:rPr>
                <w:rFonts w:ascii="Times New Roman" w:hAnsi="Times New Roman" w:cs="Times New Roman"/>
              </w:rPr>
              <w:t>Yes</w:t>
            </w:r>
          </w:p>
        </w:tc>
      </w:tr>
      <w:tr w:rsidR="004D1BB4" w:rsidRPr="00FA5F5C" w:rsidTr="004D1BB4">
        <w:tc>
          <w:tcPr>
            <w:tcW w:w="5418" w:type="dxa"/>
          </w:tcPr>
          <w:p w:rsidR="004D1BB4" w:rsidRPr="00FA5F5C" w:rsidRDefault="004D1BB4" w:rsidP="004D1BB4">
            <w:pPr>
              <w:pStyle w:val="ListParagraph"/>
              <w:ind w:left="0"/>
              <w:rPr>
                <w:rFonts w:ascii="Times New Roman" w:hAnsi="Times New Roman" w:cs="Times New Roman"/>
              </w:rPr>
            </w:pPr>
            <w:r w:rsidRPr="00FA5F5C">
              <w:rPr>
                <w:rFonts w:ascii="Times New Roman" w:hAnsi="Times New Roman" w:cs="Times New Roman"/>
              </w:rPr>
              <w:t xml:space="preserve">Conferences with no HHS-Funds obligated </w:t>
            </w:r>
          </w:p>
          <w:p w:rsidR="004D1BB4" w:rsidRPr="00FA5F5C" w:rsidRDefault="004D1BB4" w:rsidP="004D1BB4">
            <w:pPr>
              <w:pStyle w:val="ListParagraph"/>
              <w:ind w:left="0"/>
              <w:rPr>
                <w:rFonts w:ascii="Times New Roman" w:hAnsi="Times New Roman" w:cs="Times New Roman"/>
              </w:rPr>
            </w:pPr>
            <w:r w:rsidRPr="00FA5F5C">
              <w:rPr>
                <w:rFonts w:ascii="Times New Roman" w:hAnsi="Times New Roman" w:cs="Times New Roman"/>
              </w:rPr>
              <w:t xml:space="preserve">    (other than Federal staff salaries and travel)</w:t>
            </w:r>
          </w:p>
        </w:tc>
        <w:tc>
          <w:tcPr>
            <w:tcW w:w="1899" w:type="dxa"/>
            <w:vAlign w:val="center"/>
          </w:tcPr>
          <w:p w:rsidR="004D1BB4" w:rsidRPr="00FA5F5C" w:rsidRDefault="004D1BB4" w:rsidP="004D1BB4">
            <w:pPr>
              <w:pStyle w:val="ListParagraph"/>
              <w:ind w:left="0"/>
              <w:jc w:val="center"/>
              <w:rPr>
                <w:rFonts w:ascii="Times New Roman" w:hAnsi="Times New Roman" w:cs="Times New Roman"/>
              </w:rPr>
            </w:pPr>
            <w:r w:rsidRPr="00FA5F5C">
              <w:rPr>
                <w:rFonts w:ascii="Times New Roman" w:hAnsi="Times New Roman" w:cs="Times New Roman"/>
              </w:rPr>
              <w:t>No</w:t>
            </w:r>
          </w:p>
        </w:tc>
        <w:tc>
          <w:tcPr>
            <w:tcW w:w="1899" w:type="dxa"/>
            <w:vAlign w:val="center"/>
          </w:tcPr>
          <w:p w:rsidR="004D1BB4" w:rsidRPr="00FA5F5C" w:rsidRDefault="004D1BB4" w:rsidP="004D1BB4">
            <w:pPr>
              <w:pStyle w:val="ListParagraph"/>
              <w:ind w:left="0"/>
              <w:jc w:val="center"/>
              <w:rPr>
                <w:rFonts w:ascii="Times New Roman" w:hAnsi="Times New Roman" w:cs="Times New Roman"/>
              </w:rPr>
            </w:pPr>
            <w:r w:rsidRPr="00FA5F5C">
              <w:rPr>
                <w:rFonts w:ascii="Times New Roman" w:hAnsi="Times New Roman" w:cs="Times New Roman"/>
              </w:rPr>
              <w:t>No</w:t>
            </w:r>
          </w:p>
        </w:tc>
      </w:tr>
      <w:tr w:rsidR="004D1BB4" w:rsidRPr="00FA5F5C" w:rsidTr="004D1BB4">
        <w:tc>
          <w:tcPr>
            <w:tcW w:w="5418" w:type="dxa"/>
          </w:tcPr>
          <w:p w:rsidR="004D1BB4" w:rsidRPr="00FA5F5C" w:rsidRDefault="004D1BB4" w:rsidP="004D1BB4">
            <w:pPr>
              <w:pStyle w:val="ListParagraph"/>
              <w:ind w:left="0"/>
              <w:rPr>
                <w:rFonts w:ascii="Times New Roman" w:hAnsi="Times New Roman" w:cs="Times New Roman"/>
              </w:rPr>
            </w:pPr>
            <w:r w:rsidRPr="00FA5F5C">
              <w:rPr>
                <w:rFonts w:ascii="Times New Roman" w:hAnsi="Times New Roman" w:cs="Times New Roman"/>
              </w:rPr>
              <w:t>Conferences in Federal Space</w:t>
            </w:r>
          </w:p>
        </w:tc>
        <w:tc>
          <w:tcPr>
            <w:tcW w:w="1899" w:type="dxa"/>
            <w:vAlign w:val="center"/>
          </w:tcPr>
          <w:p w:rsidR="004D1BB4" w:rsidRPr="00FA5F5C" w:rsidRDefault="004D1BB4" w:rsidP="004D1BB4">
            <w:pPr>
              <w:pStyle w:val="ListParagraph"/>
              <w:ind w:left="0"/>
              <w:jc w:val="center"/>
              <w:rPr>
                <w:rFonts w:ascii="Times New Roman" w:hAnsi="Times New Roman" w:cs="Times New Roman"/>
              </w:rPr>
            </w:pPr>
            <w:r w:rsidRPr="00FA5F5C">
              <w:rPr>
                <w:rFonts w:ascii="Times New Roman" w:hAnsi="Times New Roman" w:cs="Times New Roman"/>
              </w:rPr>
              <w:t>Yes</w:t>
            </w:r>
          </w:p>
        </w:tc>
        <w:tc>
          <w:tcPr>
            <w:tcW w:w="1899" w:type="dxa"/>
            <w:vAlign w:val="center"/>
          </w:tcPr>
          <w:p w:rsidR="004D1BB4" w:rsidRPr="00FA5F5C" w:rsidRDefault="004D1BB4" w:rsidP="004D1BB4">
            <w:pPr>
              <w:pStyle w:val="ListParagraph"/>
              <w:ind w:left="0"/>
              <w:jc w:val="center"/>
              <w:rPr>
                <w:rFonts w:ascii="Times New Roman" w:hAnsi="Times New Roman" w:cs="Times New Roman"/>
              </w:rPr>
            </w:pPr>
            <w:r w:rsidRPr="00FA5F5C">
              <w:rPr>
                <w:rFonts w:ascii="Times New Roman" w:hAnsi="Times New Roman" w:cs="Times New Roman"/>
              </w:rPr>
              <w:t>Yes</w:t>
            </w:r>
          </w:p>
        </w:tc>
      </w:tr>
      <w:tr w:rsidR="004D1BB4" w:rsidRPr="00FA5F5C" w:rsidTr="004D1BB4">
        <w:tc>
          <w:tcPr>
            <w:tcW w:w="5418" w:type="dxa"/>
          </w:tcPr>
          <w:p w:rsidR="004D1BB4" w:rsidRPr="00FA5F5C" w:rsidRDefault="004D1BB4" w:rsidP="004D1BB4">
            <w:pPr>
              <w:pStyle w:val="ListParagraph"/>
              <w:ind w:left="0"/>
              <w:rPr>
                <w:rFonts w:ascii="Times New Roman" w:hAnsi="Times New Roman" w:cs="Times New Roman"/>
              </w:rPr>
            </w:pPr>
            <w:r w:rsidRPr="00FA5F5C">
              <w:rPr>
                <w:rFonts w:ascii="Times New Roman" w:hAnsi="Times New Roman" w:cs="Times New Roman"/>
              </w:rPr>
              <w:t>Conferences in Non-Federal Space</w:t>
            </w:r>
          </w:p>
        </w:tc>
        <w:tc>
          <w:tcPr>
            <w:tcW w:w="1899" w:type="dxa"/>
            <w:vAlign w:val="center"/>
          </w:tcPr>
          <w:p w:rsidR="004D1BB4" w:rsidRPr="00FA5F5C" w:rsidRDefault="004D1BB4" w:rsidP="004D1BB4">
            <w:pPr>
              <w:pStyle w:val="ListParagraph"/>
              <w:ind w:left="0"/>
              <w:jc w:val="center"/>
              <w:rPr>
                <w:rFonts w:ascii="Times New Roman" w:hAnsi="Times New Roman" w:cs="Times New Roman"/>
              </w:rPr>
            </w:pPr>
            <w:r w:rsidRPr="00FA5F5C">
              <w:rPr>
                <w:rFonts w:ascii="Times New Roman" w:hAnsi="Times New Roman" w:cs="Times New Roman"/>
              </w:rPr>
              <w:t>Yes</w:t>
            </w:r>
          </w:p>
        </w:tc>
        <w:tc>
          <w:tcPr>
            <w:tcW w:w="1899" w:type="dxa"/>
            <w:vAlign w:val="center"/>
          </w:tcPr>
          <w:p w:rsidR="004D1BB4" w:rsidRPr="00FA5F5C" w:rsidRDefault="004D1BB4" w:rsidP="004D1BB4">
            <w:pPr>
              <w:pStyle w:val="ListParagraph"/>
              <w:ind w:left="0"/>
              <w:jc w:val="center"/>
              <w:rPr>
                <w:rFonts w:ascii="Times New Roman" w:hAnsi="Times New Roman" w:cs="Times New Roman"/>
              </w:rPr>
            </w:pPr>
            <w:r w:rsidRPr="00FA5F5C">
              <w:rPr>
                <w:rFonts w:ascii="Times New Roman" w:hAnsi="Times New Roman" w:cs="Times New Roman"/>
              </w:rPr>
              <w:t>Yes</w:t>
            </w:r>
          </w:p>
        </w:tc>
      </w:tr>
      <w:tr w:rsidR="004D1BB4" w:rsidRPr="00FA5F5C" w:rsidTr="004D1BB4">
        <w:tc>
          <w:tcPr>
            <w:tcW w:w="5418" w:type="dxa"/>
          </w:tcPr>
          <w:p w:rsidR="004D1BB4" w:rsidRPr="00FA5F5C" w:rsidRDefault="004D1BB4" w:rsidP="004D1BB4">
            <w:pPr>
              <w:pStyle w:val="ListParagraph"/>
              <w:ind w:left="0"/>
              <w:rPr>
                <w:rFonts w:ascii="Times New Roman" w:hAnsi="Times New Roman" w:cs="Times New Roman"/>
              </w:rPr>
            </w:pPr>
            <w:r w:rsidRPr="00FA5F5C">
              <w:rPr>
                <w:rFonts w:ascii="Times New Roman" w:hAnsi="Times New Roman" w:cs="Times New Roman"/>
              </w:rPr>
              <w:t>Grants where Conferences are the Primary Purpose</w:t>
            </w:r>
          </w:p>
        </w:tc>
        <w:tc>
          <w:tcPr>
            <w:tcW w:w="1899" w:type="dxa"/>
            <w:vAlign w:val="center"/>
          </w:tcPr>
          <w:p w:rsidR="004D1BB4" w:rsidRPr="00FA5F5C" w:rsidRDefault="004D1BB4" w:rsidP="004D1BB4">
            <w:pPr>
              <w:pStyle w:val="ListParagraph"/>
              <w:ind w:left="0"/>
              <w:jc w:val="center"/>
              <w:rPr>
                <w:rFonts w:ascii="Times New Roman" w:hAnsi="Times New Roman" w:cs="Times New Roman"/>
              </w:rPr>
            </w:pPr>
            <w:r w:rsidRPr="00FA5F5C">
              <w:rPr>
                <w:rFonts w:ascii="Times New Roman" w:hAnsi="Times New Roman" w:cs="Times New Roman"/>
              </w:rPr>
              <w:t>Yes</w:t>
            </w:r>
          </w:p>
        </w:tc>
        <w:tc>
          <w:tcPr>
            <w:tcW w:w="1899" w:type="dxa"/>
            <w:vAlign w:val="center"/>
          </w:tcPr>
          <w:p w:rsidR="004D1BB4" w:rsidRPr="00FA5F5C" w:rsidRDefault="004D1BB4" w:rsidP="004D1BB4">
            <w:pPr>
              <w:pStyle w:val="ListParagraph"/>
              <w:ind w:left="0"/>
              <w:jc w:val="center"/>
              <w:rPr>
                <w:rFonts w:ascii="Times New Roman" w:hAnsi="Times New Roman" w:cs="Times New Roman"/>
              </w:rPr>
            </w:pPr>
            <w:r w:rsidRPr="00FA5F5C">
              <w:rPr>
                <w:rFonts w:ascii="Times New Roman" w:hAnsi="Times New Roman" w:cs="Times New Roman"/>
              </w:rPr>
              <w:t>Yes</w:t>
            </w:r>
          </w:p>
        </w:tc>
      </w:tr>
      <w:tr w:rsidR="004D1BB4" w:rsidRPr="00FA5F5C" w:rsidTr="004D1BB4">
        <w:tc>
          <w:tcPr>
            <w:tcW w:w="5418" w:type="dxa"/>
          </w:tcPr>
          <w:p w:rsidR="004D1BB4" w:rsidRPr="00FA5F5C" w:rsidRDefault="004D1BB4" w:rsidP="004D1BB4">
            <w:pPr>
              <w:pStyle w:val="ListParagraph"/>
              <w:ind w:left="0"/>
              <w:rPr>
                <w:rFonts w:ascii="Times New Roman" w:hAnsi="Times New Roman" w:cs="Times New Roman"/>
              </w:rPr>
            </w:pPr>
            <w:r w:rsidRPr="00FA5F5C">
              <w:rPr>
                <w:rFonts w:ascii="Times New Roman" w:hAnsi="Times New Roman" w:cs="Times New Roman"/>
              </w:rPr>
              <w:t>Grants where Conferences are an Ancillary or Minor Part</w:t>
            </w:r>
          </w:p>
        </w:tc>
        <w:tc>
          <w:tcPr>
            <w:tcW w:w="1899" w:type="dxa"/>
            <w:vAlign w:val="center"/>
          </w:tcPr>
          <w:p w:rsidR="004D1BB4" w:rsidRPr="00FA5F5C" w:rsidRDefault="004D1BB4" w:rsidP="004D1BB4">
            <w:pPr>
              <w:pStyle w:val="ListParagraph"/>
              <w:ind w:left="0"/>
              <w:jc w:val="center"/>
              <w:rPr>
                <w:rFonts w:ascii="Times New Roman" w:hAnsi="Times New Roman" w:cs="Times New Roman"/>
              </w:rPr>
            </w:pPr>
            <w:r w:rsidRPr="00FA5F5C">
              <w:rPr>
                <w:rFonts w:ascii="Times New Roman" w:hAnsi="Times New Roman" w:cs="Times New Roman"/>
              </w:rPr>
              <w:t>No</w:t>
            </w:r>
          </w:p>
        </w:tc>
        <w:tc>
          <w:tcPr>
            <w:tcW w:w="1899" w:type="dxa"/>
            <w:vAlign w:val="center"/>
          </w:tcPr>
          <w:p w:rsidR="004D1BB4" w:rsidRPr="00FA5F5C" w:rsidRDefault="004D1BB4" w:rsidP="004D1BB4">
            <w:pPr>
              <w:pStyle w:val="ListParagraph"/>
              <w:ind w:left="0"/>
              <w:jc w:val="center"/>
              <w:rPr>
                <w:rFonts w:ascii="Times New Roman" w:hAnsi="Times New Roman" w:cs="Times New Roman"/>
              </w:rPr>
            </w:pPr>
            <w:r w:rsidRPr="00FA5F5C">
              <w:rPr>
                <w:rFonts w:ascii="Times New Roman" w:hAnsi="Times New Roman" w:cs="Times New Roman"/>
              </w:rPr>
              <w:t>No</w:t>
            </w:r>
          </w:p>
        </w:tc>
      </w:tr>
      <w:tr w:rsidR="00FA5F5C" w:rsidRPr="00FA5F5C" w:rsidTr="004D1BB4">
        <w:tc>
          <w:tcPr>
            <w:tcW w:w="5418" w:type="dxa"/>
          </w:tcPr>
          <w:p w:rsidR="00FA5F5C" w:rsidRPr="00FA5F5C" w:rsidRDefault="00FA5F5C" w:rsidP="004D1BB4">
            <w:pPr>
              <w:pStyle w:val="ListParagraph"/>
              <w:ind w:left="0"/>
            </w:pPr>
          </w:p>
        </w:tc>
        <w:tc>
          <w:tcPr>
            <w:tcW w:w="1899" w:type="dxa"/>
            <w:vAlign w:val="center"/>
          </w:tcPr>
          <w:p w:rsidR="00FA5F5C" w:rsidRPr="00FA5F5C" w:rsidRDefault="00FA5F5C" w:rsidP="004D1BB4">
            <w:pPr>
              <w:pStyle w:val="ListParagraph"/>
              <w:ind w:left="0"/>
              <w:jc w:val="center"/>
            </w:pPr>
          </w:p>
        </w:tc>
        <w:tc>
          <w:tcPr>
            <w:tcW w:w="1899" w:type="dxa"/>
            <w:vAlign w:val="center"/>
          </w:tcPr>
          <w:p w:rsidR="00FA5F5C" w:rsidRPr="00FA5F5C" w:rsidRDefault="00FA5F5C" w:rsidP="004D1BB4">
            <w:pPr>
              <w:pStyle w:val="ListParagraph"/>
              <w:ind w:left="0"/>
              <w:jc w:val="center"/>
            </w:pPr>
          </w:p>
        </w:tc>
      </w:tr>
    </w:tbl>
    <w:p w:rsidR="004D1BB4" w:rsidRPr="00FA5F5C" w:rsidRDefault="004D1BB4" w:rsidP="009A7CA7">
      <w:pPr>
        <w:pStyle w:val="Heading2"/>
        <w:rPr>
          <w:rFonts w:ascii="Times New Roman" w:hAnsi="Times New Roman" w:cs="Times New Roman"/>
          <w:color w:val="auto"/>
          <w:sz w:val="22"/>
          <w:szCs w:val="22"/>
        </w:rPr>
      </w:pPr>
      <w:r w:rsidRPr="00FA5F5C">
        <w:rPr>
          <w:rFonts w:ascii="Times New Roman" w:hAnsi="Times New Roman" w:cs="Times New Roman"/>
          <w:color w:val="auto"/>
          <w:sz w:val="22"/>
          <w:szCs w:val="22"/>
        </w:rPr>
        <w:t>Conferences/Meetings Conducted via Acquisition Mechanisms</w:t>
      </w:r>
    </w:p>
    <w:p w:rsidR="007600B3" w:rsidRPr="00FA5F5C" w:rsidRDefault="007600B3" w:rsidP="009A7CA7">
      <w:pPr>
        <w:pStyle w:val="Header"/>
        <w:ind w:left="720"/>
        <w:rPr>
          <w:sz w:val="22"/>
          <w:szCs w:val="22"/>
          <w:u w:val="single"/>
        </w:rPr>
      </w:pPr>
    </w:p>
    <w:p w:rsidR="000D20AC" w:rsidRPr="00FA5F5C" w:rsidRDefault="000D20AC" w:rsidP="009A7CA7">
      <w:pPr>
        <w:pStyle w:val="Heading3"/>
        <w:jc w:val="left"/>
        <w:rPr>
          <w:b w:val="0"/>
          <w:sz w:val="22"/>
          <w:szCs w:val="22"/>
        </w:rPr>
      </w:pPr>
      <w:proofErr w:type="gramStart"/>
      <w:r w:rsidRPr="00FA5F5C">
        <w:rPr>
          <w:sz w:val="22"/>
          <w:szCs w:val="22"/>
        </w:rPr>
        <w:t>Space.</w:t>
      </w:r>
      <w:proofErr w:type="gramEnd"/>
      <w:r w:rsidRPr="00FA5F5C">
        <w:rPr>
          <w:sz w:val="22"/>
          <w:szCs w:val="22"/>
        </w:rPr>
        <w:t xml:space="preserve">  </w:t>
      </w:r>
      <w:r w:rsidRPr="00FA5F5C">
        <w:rPr>
          <w:b w:val="0"/>
          <w:sz w:val="22"/>
          <w:szCs w:val="22"/>
        </w:rPr>
        <w:t xml:space="preserve">NIH </w:t>
      </w:r>
      <w:r w:rsidR="00046ABD" w:rsidRPr="00FA5F5C">
        <w:rPr>
          <w:b w:val="0"/>
          <w:sz w:val="22"/>
          <w:szCs w:val="22"/>
        </w:rPr>
        <w:t>shall conduct</w:t>
      </w:r>
      <w:r w:rsidRPr="00FA5F5C">
        <w:rPr>
          <w:b w:val="0"/>
          <w:sz w:val="22"/>
          <w:szCs w:val="22"/>
        </w:rPr>
        <w:t xml:space="preserve"> its </w:t>
      </w:r>
      <w:r w:rsidR="00046ABD" w:rsidRPr="00FA5F5C">
        <w:rPr>
          <w:b w:val="0"/>
          <w:sz w:val="22"/>
          <w:szCs w:val="22"/>
        </w:rPr>
        <w:t>meetings and host</w:t>
      </w:r>
      <w:r w:rsidRPr="00FA5F5C">
        <w:rPr>
          <w:b w:val="0"/>
          <w:sz w:val="22"/>
          <w:szCs w:val="22"/>
        </w:rPr>
        <w:t>ed</w:t>
      </w:r>
      <w:r w:rsidR="00046ABD" w:rsidRPr="00FA5F5C">
        <w:rPr>
          <w:b w:val="0"/>
          <w:sz w:val="22"/>
          <w:szCs w:val="22"/>
        </w:rPr>
        <w:t xml:space="preserve"> or sponsor</w:t>
      </w:r>
      <w:r w:rsidRPr="00FA5F5C">
        <w:rPr>
          <w:b w:val="0"/>
          <w:sz w:val="22"/>
          <w:szCs w:val="22"/>
        </w:rPr>
        <w:t>ed</w:t>
      </w:r>
      <w:r w:rsidR="00046ABD" w:rsidRPr="00FA5F5C">
        <w:rPr>
          <w:b w:val="0"/>
          <w:sz w:val="22"/>
          <w:szCs w:val="22"/>
        </w:rPr>
        <w:t xml:space="preserve"> </w:t>
      </w:r>
      <w:r w:rsidR="00561FC1" w:rsidRPr="00FA5F5C">
        <w:rPr>
          <w:b w:val="0"/>
          <w:sz w:val="22"/>
          <w:szCs w:val="22"/>
        </w:rPr>
        <w:t>conferences in</w:t>
      </w:r>
      <w:r w:rsidR="00046ABD" w:rsidRPr="00FA5F5C">
        <w:rPr>
          <w:b w:val="0"/>
          <w:sz w:val="22"/>
          <w:szCs w:val="22"/>
        </w:rPr>
        <w:t xml:space="preserve"> space controlled by the Federal Government wherever p</w:t>
      </w:r>
      <w:r w:rsidR="009A7CA7" w:rsidRPr="00FA5F5C">
        <w:rPr>
          <w:b w:val="0"/>
          <w:sz w:val="22"/>
          <w:szCs w:val="22"/>
        </w:rPr>
        <w:t xml:space="preserve">racticable and cost effective. </w:t>
      </w:r>
      <w:r w:rsidRPr="00FA5F5C">
        <w:rPr>
          <w:b w:val="0"/>
          <w:sz w:val="22"/>
          <w:szCs w:val="22"/>
        </w:rPr>
        <w:t>Where NIH must procure space, the policy applies to all contracts including Indefinite Delivery Indefinite Quantities (IDIQs), Blanket Purchase Agreements (BPAs), purchase cards as well as orders under the NIH Conference, Administrative, and Travel Services (NIHCATS II) contract, other events management and logistics support services contracts, and contracts for conferences and meeting spaces made directly with hotels and conference centers.</w:t>
      </w:r>
    </w:p>
    <w:p w:rsidR="006E0D17" w:rsidRPr="00FA5F5C" w:rsidRDefault="000D20AC" w:rsidP="009A7CA7">
      <w:pPr>
        <w:pStyle w:val="Heading1"/>
        <w:numPr>
          <w:ilvl w:val="0"/>
          <w:numId w:val="0"/>
        </w:numPr>
        <w:ind w:left="1440"/>
        <w:rPr>
          <w:b w:val="0"/>
          <w:sz w:val="22"/>
          <w:szCs w:val="22"/>
        </w:rPr>
      </w:pPr>
      <w:r w:rsidRPr="00FA5F5C">
        <w:rPr>
          <w:b w:val="0"/>
          <w:sz w:val="22"/>
          <w:szCs w:val="22"/>
        </w:rPr>
        <w:t xml:space="preserve">Because of the potential for cost savings, the Department encourages the use of the NIHCATS II contract which is the DHHS strategic source for conference support.  </w:t>
      </w:r>
    </w:p>
    <w:p w:rsidR="000D20AC" w:rsidRPr="00FA5F5C" w:rsidRDefault="000D20AC" w:rsidP="009A7CA7">
      <w:pPr>
        <w:pStyle w:val="Header"/>
        <w:ind w:left="1440"/>
        <w:rPr>
          <w:sz w:val="22"/>
          <w:szCs w:val="22"/>
        </w:rPr>
      </w:pPr>
      <w:r w:rsidRPr="00FA5F5C">
        <w:rPr>
          <w:sz w:val="22"/>
          <w:szCs w:val="22"/>
        </w:rPr>
        <w:t xml:space="preserve">When a contract includes, in addition to other requirements, a requirement to conduct a conference, the approval and reporting requirements as outlined in this policy apply to that part of the contract.  Prior to the obligation of appropriated funds, the sponsoring office must obtain the approval of the appropriate NIH official (see </w:t>
      </w:r>
      <w:r w:rsidR="00966E41" w:rsidRPr="00FA5F5C">
        <w:rPr>
          <w:sz w:val="22"/>
          <w:szCs w:val="22"/>
        </w:rPr>
        <w:t xml:space="preserve">section 3 </w:t>
      </w:r>
      <w:r w:rsidRPr="00FA5F5C">
        <w:rPr>
          <w:sz w:val="22"/>
          <w:szCs w:val="22"/>
        </w:rPr>
        <w:t>below).</w:t>
      </w:r>
    </w:p>
    <w:p w:rsidR="000D20AC" w:rsidRPr="00FA5F5C" w:rsidRDefault="000D20AC" w:rsidP="000D20AC">
      <w:pPr>
        <w:pStyle w:val="Header"/>
        <w:rPr>
          <w:sz w:val="22"/>
          <w:szCs w:val="22"/>
        </w:rPr>
      </w:pPr>
      <w:r w:rsidRPr="00FA5F5C">
        <w:rPr>
          <w:sz w:val="22"/>
          <w:szCs w:val="22"/>
        </w:rPr>
        <w:t xml:space="preserve"> </w:t>
      </w:r>
    </w:p>
    <w:p w:rsidR="001C4376" w:rsidRPr="00FA5F5C" w:rsidRDefault="000D20AC" w:rsidP="009A7CA7">
      <w:pPr>
        <w:pStyle w:val="Heading3"/>
        <w:jc w:val="left"/>
        <w:rPr>
          <w:b w:val="0"/>
          <w:sz w:val="22"/>
          <w:szCs w:val="22"/>
        </w:rPr>
      </w:pPr>
      <w:proofErr w:type="gramStart"/>
      <w:r w:rsidRPr="00FA5F5C">
        <w:rPr>
          <w:sz w:val="22"/>
          <w:szCs w:val="22"/>
        </w:rPr>
        <w:t>Food.</w:t>
      </w:r>
      <w:proofErr w:type="gramEnd"/>
      <w:r w:rsidR="00810E36" w:rsidRPr="00FA5F5C">
        <w:rPr>
          <w:sz w:val="22"/>
          <w:szCs w:val="22"/>
        </w:rPr>
        <w:t xml:space="preserve">  </w:t>
      </w:r>
      <w:r w:rsidR="001C4376" w:rsidRPr="00FA5F5C">
        <w:rPr>
          <w:b w:val="0"/>
          <w:sz w:val="22"/>
          <w:szCs w:val="22"/>
        </w:rPr>
        <w:t xml:space="preserve">Appropriated funds shall not be used to purchase meals, light refreshments, or beverages for conferences or meetings </w:t>
      </w:r>
      <w:r w:rsidR="0008547B" w:rsidRPr="00FA5F5C">
        <w:rPr>
          <w:b w:val="0"/>
          <w:sz w:val="22"/>
          <w:szCs w:val="22"/>
        </w:rPr>
        <w:t xml:space="preserve">conducted </w:t>
      </w:r>
      <w:r w:rsidR="001C4376" w:rsidRPr="00FA5F5C">
        <w:rPr>
          <w:b w:val="0"/>
          <w:sz w:val="22"/>
          <w:szCs w:val="22"/>
        </w:rPr>
        <w:t>under any acquisition vehicle.  All active applicable contracts will be modified to reflect the new policy.  The Office of Acquisition Management and Policy (OAMP) will draft new language which will be inserted in solicitations and contracts prohibiting the use of NIH appropriated funds to purchase meals, light refreshments, or beverages.  This language will be distributed to the acquisition community within 15 days of the issuance of this policy.</w:t>
      </w:r>
    </w:p>
    <w:p w:rsidR="00A02B13" w:rsidRPr="00FA5F5C" w:rsidRDefault="00A02B13" w:rsidP="003615F5">
      <w:pPr>
        <w:pStyle w:val="Header"/>
        <w:rPr>
          <w:sz w:val="22"/>
          <w:szCs w:val="22"/>
        </w:rPr>
      </w:pPr>
    </w:p>
    <w:p w:rsidR="00AA6769" w:rsidRPr="00FA5F5C" w:rsidRDefault="00046ABD" w:rsidP="00966E41">
      <w:pPr>
        <w:pStyle w:val="Header"/>
        <w:ind w:left="1440"/>
        <w:rPr>
          <w:sz w:val="22"/>
          <w:szCs w:val="22"/>
        </w:rPr>
      </w:pPr>
      <w:r w:rsidRPr="00FA5F5C">
        <w:rPr>
          <w:sz w:val="22"/>
          <w:szCs w:val="22"/>
        </w:rPr>
        <w:t xml:space="preserve">Obligations made via </w:t>
      </w:r>
      <w:r w:rsidR="001C4376" w:rsidRPr="00FA5F5C">
        <w:rPr>
          <w:sz w:val="22"/>
          <w:szCs w:val="22"/>
        </w:rPr>
        <w:t>acquisition mechanisms pr</w:t>
      </w:r>
      <w:r w:rsidRPr="00FA5F5C">
        <w:rPr>
          <w:sz w:val="22"/>
          <w:szCs w:val="22"/>
        </w:rPr>
        <w:t xml:space="preserve">ior to January 3, 2012 are not subject to this policy.  Hence these </w:t>
      </w:r>
      <w:r w:rsidR="00561FC1" w:rsidRPr="00FA5F5C">
        <w:rPr>
          <w:sz w:val="22"/>
          <w:szCs w:val="22"/>
        </w:rPr>
        <w:t>awards would</w:t>
      </w:r>
      <w:r w:rsidRPr="00FA5F5C">
        <w:rPr>
          <w:sz w:val="22"/>
          <w:szCs w:val="22"/>
        </w:rPr>
        <w:t xml:space="preserve"> not require modifications to remove the provisioning of meals, light refreshments, and beverages.  Obligations made after January 3, 2012, including the exercise of options, must comply with the policy.  </w:t>
      </w:r>
    </w:p>
    <w:p w:rsidR="00AA6769" w:rsidRPr="00FA5F5C" w:rsidRDefault="00AA6769" w:rsidP="00966E41">
      <w:pPr>
        <w:pStyle w:val="Header"/>
        <w:ind w:left="720"/>
        <w:rPr>
          <w:sz w:val="22"/>
          <w:szCs w:val="22"/>
        </w:rPr>
      </w:pPr>
    </w:p>
    <w:p w:rsidR="001C4376" w:rsidRPr="00FA5F5C" w:rsidRDefault="001C4376" w:rsidP="00FA5F5C">
      <w:pPr>
        <w:pStyle w:val="Header"/>
        <w:ind w:left="1440"/>
        <w:rPr>
          <w:sz w:val="22"/>
          <w:szCs w:val="22"/>
        </w:rPr>
      </w:pPr>
      <w:r w:rsidRPr="00FA5F5C">
        <w:rPr>
          <w:sz w:val="22"/>
          <w:szCs w:val="22"/>
        </w:rPr>
        <w:t>NIH peer review meetings are subject to the new policy r</w:t>
      </w:r>
      <w:r w:rsidR="00FA5F5C">
        <w:rPr>
          <w:sz w:val="22"/>
          <w:szCs w:val="22"/>
        </w:rPr>
        <w:t xml:space="preserve">egarding no food/meals/beverage. </w:t>
      </w:r>
      <w:r w:rsidRPr="00FA5F5C">
        <w:rPr>
          <w:sz w:val="22"/>
          <w:szCs w:val="22"/>
        </w:rPr>
        <w:t>Alternative Solutions/Options for providing sustenance to peer revie</w:t>
      </w:r>
      <w:r w:rsidR="00FA5F5C">
        <w:rPr>
          <w:sz w:val="22"/>
          <w:szCs w:val="22"/>
        </w:rPr>
        <w:t>wers during lunch/coffee breaks could include:  s</w:t>
      </w:r>
      <w:r w:rsidRPr="00FA5F5C">
        <w:rPr>
          <w:sz w:val="22"/>
          <w:szCs w:val="22"/>
        </w:rPr>
        <w:t>ecur</w:t>
      </w:r>
      <w:r w:rsidR="00FA5F5C">
        <w:rPr>
          <w:sz w:val="22"/>
          <w:szCs w:val="22"/>
        </w:rPr>
        <w:t>ing</w:t>
      </w:r>
      <w:r w:rsidRPr="00FA5F5C">
        <w:rPr>
          <w:sz w:val="22"/>
          <w:szCs w:val="22"/>
        </w:rPr>
        <w:t xml:space="preserve"> hote</w:t>
      </w:r>
      <w:r w:rsidR="00FA5F5C">
        <w:rPr>
          <w:sz w:val="22"/>
          <w:szCs w:val="22"/>
        </w:rPr>
        <w:t>ls that have restaurants nearby; u</w:t>
      </w:r>
      <w:r w:rsidR="003B06EE" w:rsidRPr="00FA5F5C">
        <w:rPr>
          <w:sz w:val="22"/>
          <w:szCs w:val="22"/>
        </w:rPr>
        <w:t>tilize in-house hotel restaurants and food stands.</w:t>
      </w:r>
    </w:p>
    <w:p w:rsidR="001C4376" w:rsidRPr="00FA5F5C" w:rsidRDefault="001C4376" w:rsidP="00966E41">
      <w:pPr>
        <w:pStyle w:val="Header"/>
        <w:ind w:left="720"/>
        <w:rPr>
          <w:sz w:val="22"/>
          <w:szCs w:val="22"/>
        </w:rPr>
      </w:pPr>
    </w:p>
    <w:p w:rsidR="00A44BC2" w:rsidRPr="00FA5F5C" w:rsidRDefault="00046ABD" w:rsidP="00966E41">
      <w:pPr>
        <w:pStyle w:val="Header"/>
        <w:ind w:left="1440"/>
        <w:rPr>
          <w:sz w:val="22"/>
          <w:szCs w:val="22"/>
        </w:rPr>
      </w:pPr>
      <w:r w:rsidRPr="00FA5F5C">
        <w:rPr>
          <w:b/>
          <w:sz w:val="22"/>
          <w:szCs w:val="22"/>
        </w:rPr>
        <w:t xml:space="preserve">Exceptions to Food Policy: </w:t>
      </w:r>
      <w:r w:rsidR="00D84C82" w:rsidRPr="00FA5F5C">
        <w:rPr>
          <w:b/>
          <w:sz w:val="22"/>
          <w:szCs w:val="22"/>
        </w:rPr>
        <w:t xml:space="preserve"> </w:t>
      </w:r>
      <w:r w:rsidR="00592033" w:rsidRPr="00FA5F5C">
        <w:rPr>
          <w:sz w:val="22"/>
          <w:szCs w:val="22"/>
        </w:rPr>
        <w:t xml:space="preserve">See </w:t>
      </w:r>
      <w:r w:rsidR="00D84C82" w:rsidRPr="00FA5F5C">
        <w:rPr>
          <w:sz w:val="22"/>
          <w:szCs w:val="22"/>
        </w:rPr>
        <w:t>“</w:t>
      </w:r>
      <w:r w:rsidR="00592033" w:rsidRPr="00FA5F5C">
        <w:rPr>
          <w:sz w:val="22"/>
          <w:szCs w:val="22"/>
        </w:rPr>
        <w:t>Section II. Use of Appropriated Funds for Food</w:t>
      </w:r>
      <w:r w:rsidR="00D84C82" w:rsidRPr="00FA5F5C">
        <w:rPr>
          <w:sz w:val="22"/>
          <w:szCs w:val="22"/>
        </w:rPr>
        <w:t xml:space="preserve">” for exceptions related to </w:t>
      </w:r>
      <w:r w:rsidR="00592033" w:rsidRPr="00FA5F5C">
        <w:rPr>
          <w:sz w:val="22"/>
          <w:szCs w:val="22"/>
        </w:rPr>
        <w:t xml:space="preserve">Gifts Funds </w:t>
      </w:r>
      <w:r w:rsidR="00D84C82" w:rsidRPr="00FA5F5C">
        <w:rPr>
          <w:sz w:val="22"/>
          <w:szCs w:val="22"/>
        </w:rPr>
        <w:t xml:space="preserve">and </w:t>
      </w:r>
      <w:r w:rsidR="00592033" w:rsidRPr="00FA5F5C">
        <w:rPr>
          <w:sz w:val="22"/>
          <w:szCs w:val="22"/>
        </w:rPr>
        <w:t>Registration Fees</w:t>
      </w:r>
      <w:r w:rsidR="00D84C82" w:rsidRPr="00FA5F5C">
        <w:rPr>
          <w:sz w:val="22"/>
          <w:szCs w:val="22"/>
        </w:rPr>
        <w:t>.</w:t>
      </w:r>
    </w:p>
    <w:p w:rsidR="00966E41" w:rsidRPr="00FA5F5C" w:rsidRDefault="00966E41" w:rsidP="00966E41">
      <w:pPr>
        <w:pStyle w:val="Header"/>
        <w:ind w:left="1440"/>
        <w:rPr>
          <w:sz w:val="22"/>
          <w:szCs w:val="22"/>
        </w:rPr>
      </w:pPr>
    </w:p>
    <w:p w:rsidR="00334CF1" w:rsidRPr="00FA5F5C" w:rsidRDefault="00F81DAA" w:rsidP="009A7CA7">
      <w:pPr>
        <w:pStyle w:val="Heading3"/>
        <w:jc w:val="left"/>
        <w:rPr>
          <w:b w:val="0"/>
          <w:sz w:val="22"/>
          <w:szCs w:val="22"/>
        </w:rPr>
      </w:pPr>
      <w:r w:rsidRPr="00FA5F5C">
        <w:rPr>
          <w:sz w:val="22"/>
          <w:szCs w:val="22"/>
        </w:rPr>
        <w:t xml:space="preserve">Approval </w:t>
      </w:r>
      <w:r w:rsidR="00046ABD" w:rsidRPr="00FA5F5C">
        <w:rPr>
          <w:sz w:val="22"/>
          <w:szCs w:val="22"/>
        </w:rPr>
        <w:t>Responsibilities and Procedures:</w:t>
      </w:r>
      <w:r w:rsidRPr="00FA5F5C">
        <w:rPr>
          <w:sz w:val="22"/>
          <w:szCs w:val="22"/>
        </w:rPr>
        <w:t xml:space="preserve">  </w:t>
      </w:r>
      <w:r w:rsidR="00046ABD" w:rsidRPr="00FA5F5C">
        <w:rPr>
          <w:b w:val="0"/>
          <w:sz w:val="22"/>
          <w:szCs w:val="22"/>
        </w:rPr>
        <w:t xml:space="preserve">The Conference Approval Request Form (Attachment </w:t>
      </w:r>
      <w:r w:rsidR="00621D57" w:rsidRPr="00FA5F5C">
        <w:rPr>
          <w:b w:val="0"/>
          <w:sz w:val="22"/>
          <w:szCs w:val="22"/>
        </w:rPr>
        <w:t>1</w:t>
      </w:r>
      <w:r w:rsidR="00046ABD" w:rsidRPr="00FA5F5C">
        <w:rPr>
          <w:b w:val="0"/>
          <w:sz w:val="22"/>
          <w:szCs w:val="22"/>
        </w:rPr>
        <w:t>) shall be used to explain the purpose of the conference/meeting, why the conference/meeting is critical to the mission, and why the costs are considered reasonable.</w:t>
      </w:r>
      <w:r w:rsidR="00046ABD" w:rsidRPr="00FA5F5C">
        <w:rPr>
          <w:b w:val="0"/>
          <w:spacing w:val="-10"/>
          <w:sz w:val="22"/>
          <w:szCs w:val="22"/>
        </w:rPr>
        <w:t xml:space="preserve"> </w:t>
      </w:r>
      <w:r w:rsidR="00561FC1" w:rsidRPr="00FA5F5C">
        <w:rPr>
          <w:b w:val="0"/>
          <w:spacing w:val="-10"/>
          <w:sz w:val="22"/>
          <w:szCs w:val="22"/>
        </w:rPr>
        <w:t>(OAMP</w:t>
      </w:r>
      <w:r w:rsidR="00046ABD" w:rsidRPr="00FA5F5C">
        <w:rPr>
          <w:b w:val="0"/>
          <w:sz w:val="22"/>
          <w:szCs w:val="22"/>
        </w:rPr>
        <w:t xml:space="preserve"> will release an electronic version of the form expeditiously.</w:t>
      </w:r>
      <w:r w:rsidRPr="00FA5F5C">
        <w:rPr>
          <w:b w:val="0"/>
          <w:sz w:val="22"/>
          <w:szCs w:val="22"/>
        </w:rPr>
        <w:t xml:space="preserve">) </w:t>
      </w:r>
      <w:r w:rsidR="00046ABD" w:rsidRPr="00FA5F5C">
        <w:rPr>
          <w:b w:val="0"/>
          <w:sz w:val="22"/>
          <w:szCs w:val="22"/>
        </w:rPr>
        <w:t xml:space="preserve"> The request must be </w:t>
      </w:r>
      <w:r w:rsidR="000E7B08" w:rsidRPr="00FA5F5C">
        <w:rPr>
          <w:b w:val="0"/>
          <w:sz w:val="22"/>
          <w:szCs w:val="22"/>
        </w:rPr>
        <w:t>submitted</w:t>
      </w:r>
      <w:r w:rsidRPr="00FA5F5C">
        <w:rPr>
          <w:b w:val="0"/>
          <w:sz w:val="22"/>
          <w:szCs w:val="22"/>
        </w:rPr>
        <w:t xml:space="preserve"> and </w:t>
      </w:r>
      <w:r w:rsidR="00561FC1" w:rsidRPr="00FA5F5C">
        <w:rPr>
          <w:b w:val="0"/>
          <w:sz w:val="22"/>
          <w:szCs w:val="22"/>
        </w:rPr>
        <w:t>approved in</w:t>
      </w:r>
      <w:r w:rsidR="00046ABD" w:rsidRPr="00FA5F5C">
        <w:rPr>
          <w:b w:val="0"/>
          <w:sz w:val="22"/>
          <w:szCs w:val="22"/>
        </w:rPr>
        <w:t xml:space="preserve"> advance of issuing any funding opportunity announcement or solicitation.   The approved NIH Conference Request Form must be included </w:t>
      </w:r>
      <w:r w:rsidR="00B055EA" w:rsidRPr="00FA5F5C">
        <w:rPr>
          <w:b w:val="0"/>
          <w:sz w:val="22"/>
          <w:szCs w:val="22"/>
        </w:rPr>
        <w:t xml:space="preserve">in </w:t>
      </w:r>
      <w:r w:rsidR="00046ABD" w:rsidRPr="00FA5F5C">
        <w:rPr>
          <w:b w:val="0"/>
          <w:sz w:val="22"/>
          <w:szCs w:val="22"/>
        </w:rPr>
        <w:t xml:space="preserve">the </w:t>
      </w:r>
      <w:r w:rsidR="00B055EA" w:rsidRPr="00FA5F5C">
        <w:rPr>
          <w:b w:val="0"/>
          <w:sz w:val="22"/>
          <w:szCs w:val="22"/>
        </w:rPr>
        <w:t>award</w:t>
      </w:r>
      <w:r w:rsidR="00046ABD" w:rsidRPr="00FA5F5C">
        <w:rPr>
          <w:b w:val="0"/>
          <w:sz w:val="22"/>
          <w:szCs w:val="22"/>
        </w:rPr>
        <w:t xml:space="preserve"> file.  </w:t>
      </w:r>
    </w:p>
    <w:p w:rsidR="00D214D7" w:rsidRPr="00FA5F5C" w:rsidRDefault="00D214D7" w:rsidP="009A7CA7">
      <w:pPr>
        <w:ind w:left="1440"/>
        <w:rPr>
          <w:sz w:val="22"/>
          <w:szCs w:val="22"/>
        </w:rPr>
      </w:pPr>
    </w:p>
    <w:p w:rsidR="00D548A5" w:rsidRPr="00FA5F5C" w:rsidRDefault="00046ABD" w:rsidP="009A7CA7">
      <w:pPr>
        <w:ind w:left="1440"/>
        <w:rPr>
          <w:sz w:val="22"/>
          <w:szCs w:val="22"/>
        </w:rPr>
      </w:pPr>
      <w:r w:rsidRPr="00FA5F5C">
        <w:rPr>
          <w:sz w:val="22"/>
          <w:szCs w:val="22"/>
        </w:rPr>
        <w:t>In order to ensure consistent oversight and management across NIH and to provide accurate reporting to HHS, the following approval thresholds apply.  For</w:t>
      </w:r>
      <w:r w:rsidR="009F7748" w:rsidRPr="00FA5F5C">
        <w:rPr>
          <w:sz w:val="22"/>
          <w:szCs w:val="22"/>
        </w:rPr>
        <w:t xml:space="preserve"> </w:t>
      </w:r>
      <w:r w:rsidRPr="00FA5F5C">
        <w:rPr>
          <w:sz w:val="22"/>
          <w:szCs w:val="22"/>
        </w:rPr>
        <w:t>conferences</w:t>
      </w:r>
      <w:r w:rsidR="009F7748" w:rsidRPr="00FA5F5C">
        <w:rPr>
          <w:sz w:val="22"/>
          <w:szCs w:val="22"/>
        </w:rPr>
        <w:t xml:space="preserve"> and meetings</w:t>
      </w:r>
      <w:r w:rsidRPr="00FA5F5C">
        <w:rPr>
          <w:sz w:val="22"/>
          <w:szCs w:val="22"/>
        </w:rPr>
        <w:t>:</w:t>
      </w:r>
    </w:p>
    <w:p w:rsidR="00D84C82" w:rsidRPr="00FA5F5C" w:rsidRDefault="00D84C82" w:rsidP="005A33D7">
      <w:pPr>
        <w:ind w:left="720"/>
        <w:rPr>
          <w:sz w:val="22"/>
          <w:szCs w:val="22"/>
        </w:rPr>
      </w:pPr>
    </w:p>
    <w:p w:rsidR="005A33D7" w:rsidRPr="00FA5F5C" w:rsidRDefault="00046ABD" w:rsidP="009E03D3">
      <w:pPr>
        <w:pStyle w:val="ListParagraph"/>
        <w:numPr>
          <w:ilvl w:val="0"/>
          <w:numId w:val="9"/>
        </w:numPr>
        <w:rPr>
          <w:sz w:val="22"/>
          <w:szCs w:val="22"/>
        </w:rPr>
      </w:pPr>
      <w:r w:rsidRPr="00FA5F5C">
        <w:rPr>
          <w:sz w:val="22"/>
          <w:szCs w:val="22"/>
        </w:rPr>
        <w:t>Under $100,000</w:t>
      </w:r>
      <w:r w:rsidR="009F7748" w:rsidRPr="00FA5F5C">
        <w:rPr>
          <w:sz w:val="22"/>
          <w:szCs w:val="22"/>
        </w:rPr>
        <w:t xml:space="preserve"> (per event) </w:t>
      </w:r>
      <w:r w:rsidRPr="00FA5F5C">
        <w:rPr>
          <w:sz w:val="22"/>
          <w:szCs w:val="22"/>
        </w:rPr>
        <w:t xml:space="preserve"> – IC </w:t>
      </w:r>
      <w:r w:rsidR="005A33D7" w:rsidRPr="00FA5F5C">
        <w:rPr>
          <w:sz w:val="22"/>
          <w:szCs w:val="22"/>
        </w:rPr>
        <w:t xml:space="preserve">Directors, delegable to IC </w:t>
      </w:r>
      <w:r w:rsidRPr="00FA5F5C">
        <w:rPr>
          <w:sz w:val="22"/>
          <w:szCs w:val="22"/>
        </w:rPr>
        <w:t>Executive Officer</w:t>
      </w:r>
      <w:r w:rsidR="005A33D7" w:rsidRPr="00FA5F5C">
        <w:rPr>
          <w:sz w:val="22"/>
          <w:szCs w:val="22"/>
        </w:rPr>
        <w:t>s</w:t>
      </w:r>
      <w:r w:rsidRPr="00FA5F5C">
        <w:rPr>
          <w:sz w:val="22"/>
          <w:szCs w:val="22"/>
        </w:rPr>
        <w:t xml:space="preserve"> (EO) without further redelegation</w:t>
      </w:r>
      <w:r w:rsidR="002015AF" w:rsidRPr="00FA5F5C">
        <w:rPr>
          <w:sz w:val="22"/>
          <w:szCs w:val="22"/>
        </w:rPr>
        <w:t>;</w:t>
      </w:r>
    </w:p>
    <w:p w:rsidR="005A33D7" w:rsidRPr="00FA5F5C" w:rsidRDefault="005A33D7" w:rsidP="005A33D7">
      <w:pPr>
        <w:pStyle w:val="ListParagraph"/>
        <w:ind w:left="1080"/>
        <w:rPr>
          <w:sz w:val="22"/>
          <w:szCs w:val="22"/>
        </w:rPr>
      </w:pPr>
    </w:p>
    <w:p w:rsidR="006B5930" w:rsidRPr="00FA5F5C" w:rsidRDefault="00046ABD" w:rsidP="005B4B46">
      <w:pPr>
        <w:pStyle w:val="ListParagraph"/>
        <w:numPr>
          <w:ilvl w:val="0"/>
          <w:numId w:val="9"/>
        </w:numPr>
        <w:rPr>
          <w:sz w:val="22"/>
          <w:szCs w:val="22"/>
        </w:rPr>
      </w:pPr>
      <w:r w:rsidRPr="00FA5F5C">
        <w:rPr>
          <w:sz w:val="22"/>
          <w:szCs w:val="22"/>
        </w:rPr>
        <w:t xml:space="preserve">$100,000 or over </w:t>
      </w:r>
      <w:r w:rsidR="009F7748" w:rsidRPr="00FA5F5C">
        <w:rPr>
          <w:sz w:val="22"/>
          <w:szCs w:val="22"/>
        </w:rPr>
        <w:t xml:space="preserve">(per event) </w:t>
      </w:r>
      <w:r w:rsidRPr="00FA5F5C">
        <w:rPr>
          <w:sz w:val="22"/>
          <w:szCs w:val="22"/>
        </w:rPr>
        <w:t>– Deputy Director for Management (DDM) without further redelegation</w:t>
      </w:r>
      <w:r w:rsidR="002015AF" w:rsidRPr="00FA5F5C">
        <w:rPr>
          <w:sz w:val="22"/>
          <w:szCs w:val="22"/>
        </w:rPr>
        <w:t>.</w:t>
      </w:r>
      <w:r w:rsidR="005B4B46" w:rsidRPr="00FA5F5C">
        <w:rPr>
          <w:sz w:val="22"/>
          <w:szCs w:val="22"/>
        </w:rPr>
        <w:t xml:space="preserve"> Please route these requests through OAMP at </w:t>
      </w:r>
      <w:hyperlink r:id="rId20" w:history="1">
        <w:r w:rsidR="005B4B46" w:rsidRPr="00FA5F5C">
          <w:rPr>
            <w:rStyle w:val="Hyperlink"/>
            <w:sz w:val="22"/>
            <w:szCs w:val="22"/>
          </w:rPr>
          <w:t>SimplifiedAcquisitionHelp@od.nih.gov</w:t>
        </w:r>
      </w:hyperlink>
      <w:r w:rsidR="005B4B46" w:rsidRPr="00FA5F5C">
        <w:rPr>
          <w:sz w:val="22"/>
          <w:szCs w:val="22"/>
        </w:rPr>
        <w:t xml:space="preserve">.  </w:t>
      </w:r>
    </w:p>
    <w:p w:rsidR="005B4B46" w:rsidRPr="00FA5F5C" w:rsidRDefault="005B4B46" w:rsidP="005B4B46">
      <w:pPr>
        <w:pStyle w:val="ListParagraph"/>
        <w:rPr>
          <w:sz w:val="22"/>
          <w:szCs w:val="22"/>
        </w:rPr>
      </w:pPr>
    </w:p>
    <w:p w:rsidR="00DD7EA0" w:rsidRPr="00FA5F5C" w:rsidRDefault="00D214D7" w:rsidP="009A7CA7">
      <w:pPr>
        <w:pStyle w:val="Header"/>
        <w:tabs>
          <w:tab w:val="clear" w:pos="4320"/>
          <w:tab w:val="clear" w:pos="8640"/>
        </w:tabs>
        <w:ind w:left="1440"/>
        <w:rPr>
          <w:sz w:val="22"/>
          <w:szCs w:val="22"/>
        </w:rPr>
      </w:pPr>
      <w:r w:rsidRPr="00FA5F5C">
        <w:rPr>
          <w:sz w:val="22"/>
          <w:szCs w:val="22"/>
        </w:rPr>
        <w:t xml:space="preserve">Please Note:  </w:t>
      </w:r>
      <w:r w:rsidR="005A33D7" w:rsidRPr="00FA5F5C">
        <w:rPr>
          <w:sz w:val="22"/>
          <w:szCs w:val="22"/>
        </w:rPr>
        <w:t>NIH peer review meetings and Council meetings held in non-federal space with NIH funds required/obligated are subject to this</w:t>
      </w:r>
      <w:r w:rsidR="005A33D7" w:rsidRPr="00FA5F5C">
        <w:rPr>
          <w:b/>
          <w:sz w:val="22"/>
          <w:szCs w:val="22"/>
          <w:u w:val="single"/>
        </w:rPr>
        <w:t xml:space="preserve"> approval</w:t>
      </w:r>
      <w:r w:rsidRPr="00FA5F5C">
        <w:rPr>
          <w:sz w:val="22"/>
          <w:szCs w:val="22"/>
        </w:rPr>
        <w:t xml:space="preserve"> process</w:t>
      </w:r>
      <w:r w:rsidR="005A33D7" w:rsidRPr="00FA5F5C">
        <w:rPr>
          <w:sz w:val="22"/>
          <w:szCs w:val="22"/>
        </w:rPr>
        <w:t>.</w:t>
      </w:r>
    </w:p>
    <w:p w:rsidR="00307DD3" w:rsidRPr="00FA5F5C" w:rsidRDefault="00307DD3" w:rsidP="009A7CA7">
      <w:pPr>
        <w:pStyle w:val="Header"/>
        <w:tabs>
          <w:tab w:val="clear" w:pos="4320"/>
          <w:tab w:val="clear" w:pos="8640"/>
        </w:tabs>
        <w:ind w:left="1440"/>
        <w:rPr>
          <w:sz w:val="22"/>
          <w:szCs w:val="22"/>
        </w:rPr>
      </w:pPr>
    </w:p>
    <w:p w:rsidR="00307DD3" w:rsidRPr="00FA5F5C" w:rsidRDefault="00307DD3" w:rsidP="009A7CA7">
      <w:pPr>
        <w:pStyle w:val="Header"/>
        <w:tabs>
          <w:tab w:val="clear" w:pos="4320"/>
          <w:tab w:val="clear" w:pos="8640"/>
        </w:tabs>
        <w:ind w:left="1440"/>
        <w:rPr>
          <w:sz w:val="22"/>
          <w:szCs w:val="22"/>
        </w:rPr>
      </w:pPr>
      <w:r w:rsidRPr="00FA5F5C">
        <w:rPr>
          <w:b/>
          <w:i/>
          <w:sz w:val="22"/>
          <w:szCs w:val="22"/>
        </w:rPr>
        <w:t>Note to Contracting Officers and Buyers</w:t>
      </w:r>
      <w:r w:rsidRPr="00FA5F5C">
        <w:rPr>
          <w:sz w:val="22"/>
          <w:szCs w:val="22"/>
        </w:rPr>
        <w:t>: The recommended Product Service Code (PSC) for conferences is X1AB – Lease/Rental of Conference Space and Facilities.</w:t>
      </w:r>
    </w:p>
    <w:p w:rsidR="005A33D7" w:rsidRPr="00FA5F5C" w:rsidRDefault="005A33D7" w:rsidP="005A33D7">
      <w:pPr>
        <w:pStyle w:val="Header"/>
        <w:tabs>
          <w:tab w:val="clear" w:pos="4320"/>
          <w:tab w:val="clear" w:pos="8640"/>
        </w:tabs>
        <w:ind w:left="720"/>
        <w:rPr>
          <w:b/>
          <w:sz w:val="22"/>
          <w:szCs w:val="22"/>
          <w:u w:val="single"/>
        </w:rPr>
      </w:pPr>
    </w:p>
    <w:p w:rsidR="000D2ABE" w:rsidRPr="00FA5F5C" w:rsidRDefault="005A33D7" w:rsidP="009A7CA7">
      <w:pPr>
        <w:pStyle w:val="Heading3"/>
        <w:jc w:val="left"/>
        <w:rPr>
          <w:b w:val="0"/>
          <w:sz w:val="22"/>
          <w:szCs w:val="22"/>
        </w:rPr>
      </w:pPr>
      <w:r w:rsidRPr="00FA5F5C">
        <w:rPr>
          <w:sz w:val="22"/>
          <w:szCs w:val="22"/>
        </w:rPr>
        <w:t xml:space="preserve">Reporting Responsibilities and Procedures:   </w:t>
      </w:r>
      <w:r w:rsidR="00046ABD" w:rsidRPr="00FA5F5C">
        <w:rPr>
          <w:b w:val="0"/>
          <w:sz w:val="22"/>
          <w:szCs w:val="22"/>
        </w:rPr>
        <w:t>On or before April 15 and October 15, each year, the NIH is required to submit a consolidated semi-annual report on approved conferences to DHHS. The information for this report will be gathered from approved Conference Approval Request Forms</w:t>
      </w:r>
      <w:r w:rsidRPr="00FA5F5C">
        <w:rPr>
          <w:b w:val="0"/>
          <w:sz w:val="22"/>
          <w:szCs w:val="22"/>
        </w:rPr>
        <w:t xml:space="preserve">. </w:t>
      </w:r>
      <w:r w:rsidR="00046ABD" w:rsidRPr="00FA5F5C">
        <w:rPr>
          <w:b w:val="0"/>
          <w:sz w:val="22"/>
          <w:szCs w:val="22"/>
        </w:rPr>
        <w:t xml:space="preserve"> Upon </w:t>
      </w:r>
      <w:r w:rsidR="002015AF" w:rsidRPr="00FA5F5C">
        <w:rPr>
          <w:b w:val="0"/>
          <w:sz w:val="22"/>
          <w:szCs w:val="22"/>
        </w:rPr>
        <w:t xml:space="preserve">OAMP’s </w:t>
      </w:r>
      <w:r w:rsidR="00046ABD" w:rsidRPr="00FA5F5C">
        <w:rPr>
          <w:b w:val="0"/>
          <w:sz w:val="22"/>
          <w:szCs w:val="22"/>
        </w:rPr>
        <w:t>request, the ICs will send a</w:t>
      </w:r>
      <w:r w:rsidR="00DB241F" w:rsidRPr="00FA5F5C">
        <w:rPr>
          <w:b w:val="0"/>
          <w:sz w:val="22"/>
          <w:szCs w:val="22"/>
        </w:rPr>
        <w:t xml:space="preserve"> consolidated listing </w:t>
      </w:r>
      <w:r w:rsidR="00046ABD" w:rsidRPr="00FA5F5C">
        <w:rPr>
          <w:b w:val="0"/>
          <w:sz w:val="22"/>
          <w:szCs w:val="22"/>
        </w:rPr>
        <w:t xml:space="preserve">to the OAMP at </w:t>
      </w:r>
      <w:hyperlink r:id="rId21" w:history="1">
        <w:r w:rsidR="00046ABD" w:rsidRPr="00FA5F5C">
          <w:rPr>
            <w:rStyle w:val="Hyperlink"/>
            <w:b w:val="0"/>
            <w:sz w:val="22"/>
            <w:szCs w:val="22"/>
          </w:rPr>
          <w:t>SimplifiedAcquisitionHelp@od.nih.gov</w:t>
        </w:r>
      </w:hyperlink>
      <w:r w:rsidR="00046ABD" w:rsidRPr="00FA5F5C">
        <w:rPr>
          <w:b w:val="0"/>
          <w:sz w:val="22"/>
          <w:szCs w:val="22"/>
        </w:rPr>
        <w:t xml:space="preserve">.  </w:t>
      </w:r>
      <w:r w:rsidR="00046ABD" w:rsidRPr="00FA5F5C">
        <w:rPr>
          <w:b w:val="0"/>
          <w:bCs/>
          <w:sz w:val="22"/>
          <w:szCs w:val="22"/>
        </w:rPr>
        <w:t xml:space="preserve">OAMP will </w:t>
      </w:r>
      <w:r w:rsidRPr="00FA5F5C">
        <w:rPr>
          <w:b w:val="0"/>
          <w:bCs/>
          <w:sz w:val="22"/>
          <w:szCs w:val="22"/>
        </w:rPr>
        <w:t xml:space="preserve">consolidate the listings and obtain clearances prior to submission to </w:t>
      </w:r>
      <w:r w:rsidR="00561FC1" w:rsidRPr="00FA5F5C">
        <w:rPr>
          <w:b w:val="0"/>
          <w:bCs/>
          <w:sz w:val="22"/>
          <w:szCs w:val="22"/>
        </w:rPr>
        <w:t>DHHS</w:t>
      </w:r>
      <w:r w:rsidR="00046ABD" w:rsidRPr="00FA5F5C">
        <w:rPr>
          <w:b w:val="0"/>
          <w:sz w:val="22"/>
          <w:szCs w:val="22"/>
        </w:rPr>
        <w:t>.</w:t>
      </w:r>
    </w:p>
    <w:p w:rsidR="00B26ABE" w:rsidRPr="00FA5F5C" w:rsidRDefault="00B26ABE" w:rsidP="009F12D1">
      <w:pPr>
        <w:pStyle w:val="Header"/>
        <w:rPr>
          <w:sz w:val="22"/>
          <w:szCs w:val="22"/>
        </w:rPr>
      </w:pPr>
    </w:p>
    <w:p w:rsidR="00041D5F" w:rsidRPr="00FA5F5C" w:rsidRDefault="003B06EE" w:rsidP="009A7CA7">
      <w:pPr>
        <w:pStyle w:val="Header"/>
        <w:tabs>
          <w:tab w:val="clear" w:pos="4320"/>
          <w:tab w:val="clear" w:pos="8640"/>
        </w:tabs>
        <w:ind w:left="1440"/>
        <w:rPr>
          <w:sz w:val="22"/>
          <w:szCs w:val="22"/>
        </w:rPr>
      </w:pPr>
      <w:r w:rsidRPr="00FA5F5C">
        <w:rPr>
          <w:b/>
          <w:sz w:val="22"/>
          <w:szCs w:val="22"/>
          <w:u w:val="single"/>
        </w:rPr>
        <w:t>Please Note:</w:t>
      </w:r>
      <w:r w:rsidRPr="00FA5F5C">
        <w:rPr>
          <w:sz w:val="22"/>
          <w:szCs w:val="22"/>
        </w:rPr>
        <w:t xml:space="preserve">  </w:t>
      </w:r>
      <w:r w:rsidR="00041D5F" w:rsidRPr="00FA5F5C">
        <w:rPr>
          <w:sz w:val="22"/>
          <w:szCs w:val="22"/>
        </w:rPr>
        <w:t>NIH peer review meetings and Council meetings held in non-federal space with NIH funds required/obligated are subject to this</w:t>
      </w:r>
      <w:r w:rsidR="00041D5F" w:rsidRPr="00FA5F5C">
        <w:rPr>
          <w:b/>
          <w:sz w:val="22"/>
          <w:szCs w:val="22"/>
          <w:u w:val="single"/>
        </w:rPr>
        <w:t xml:space="preserve"> reporting</w:t>
      </w:r>
      <w:r w:rsidR="00041D5F" w:rsidRPr="00FA5F5C">
        <w:rPr>
          <w:sz w:val="22"/>
          <w:szCs w:val="22"/>
        </w:rPr>
        <w:t xml:space="preserve"> requirement.</w:t>
      </w:r>
    </w:p>
    <w:p w:rsidR="003B06EE" w:rsidRPr="00FA5F5C" w:rsidRDefault="003B06EE" w:rsidP="009A7CA7">
      <w:pPr>
        <w:pStyle w:val="Header"/>
        <w:tabs>
          <w:tab w:val="clear" w:pos="4320"/>
          <w:tab w:val="clear" w:pos="8640"/>
        </w:tabs>
        <w:ind w:left="1440"/>
        <w:rPr>
          <w:sz w:val="22"/>
          <w:szCs w:val="22"/>
        </w:rPr>
      </w:pPr>
    </w:p>
    <w:p w:rsidR="00D214D7" w:rsidRPr="00FA5F5C" w:rsidRDefault="003B06EE" w:rsidP="00D214D7">
      <w:pPr>
        <w:pStyle w:val="Header"/>
        <w:ind w:left="1440"/>
        <w:rPr>
          <w:sz w:val="22"/>
          <w:szCs w:val="22"/>
        </w:rPr>
      </w:pPr>
      <w:r w:rsidRPr="00FA5F5C">
        <w:rPr>
          <w:sz w:val="22"/>
          <w:szCs w:val="22"/>
        </w:rPr>
        <w:t xml:space="preserve">OER staff is working diligently on behalf of the ICs to identify a central way to report the data that ICs and CSR enter into the Meeting Maintenance Module within </w:t>
      </w:r>
      <w:proofErr w:type="spellStart"/>
      <w:r w:rsidRPr="00FA5F5C">
        <w:rPr>
          <w:sz w:val="22"/>
          <w:szCs w:val="22"/>
        </w:rPr>
        <w:t>eRA</w:t>
      </w:r>
      <w:proofErr w:type="spellEnd"/>
      <w:r w:rsidRPr="00FA5F5C">
        <w:rPr>
          <w:sz w:val="22"/>
          <w:szCs w:val="22"/>
        </w:rPr>
        <w:t xml:space="preserve">.  Guidance related to reporting is forthcoming.  Meanwhile, effective immediately ICs and CSR staff must enter </w:t>
      </w:r>
      <w:r w:rsidR="00D214D7" w:rsidRPr="00FA5F5C">
        <w:rPr>
          <w:sz w:val="22"/>
          <w:szCs w:val="22"/>
        </w:rPr>
        <w:t xml:space="preserve">data into </w:t>
      </w:r>
      <w:proofErr w:type="spellStart"/>
      <w:r w:rsidRPr="00FA5F5C">
        <w:rPr>
          <w:sz w:val="22"/>
          <w:szCs w:val="22"/>
        </w:rPr>
        <w:t>eRA</w:t>
      </w:r>
      <w:proofErr w:type="spellEnd"/>
      <w:r w:rsidRPr="00FA5F5C">
        <w:rPr>
          <w:sz w:val="22"/>
          <w:szCs w:val="22"/>
        </w:rPr>
        <w:t xml:space="preserve"> </w:t>
      </w:r>
      <w:r w:rsidR="00D214D7" w:rsidRPr="00FA5F5C">
        <w:rPr>
          <w:sz w:val="22"/>
          <w:szCs w:val="22"/>
        </w:rPr>
        <w:t>at least 10 days prior to the actual meeting date.</w:t>
      </w:r>
      <w:r w:rsidR="0013157D" w:rsidRPr="00FA5F5C">
        <w:rPr>
          <w:sz w:val="22"/>
          <w:szCs w:val="22"/>
        </w:rPr>
        <w:t xml:space="preserve"> For instructions on required data elements, s</w:t>
      </w:r>
      <w:r w:rsidR="00D214D7" w:rsidRPr="00FA5F5C">
        <w:rPr>
          <w:sz w:val="22"/>
          <w:szCs w:val="22"/>
        </w:rPr>
        <w:t xml:space="preserve">ee </w:t>
      </w:r>
      <w:r w:rsidR="0013157D" w:rsidRPr="00FA5F5C">
        <w:rPr>
          <w:sz w:val="22"/>
          <w:szCs w:val="22"/>
        </w:rPr>
        <w:t>A</w:t>
      </w:r>
      <w:r w:rsidR="00D214D7" w:rsidRPr="00FA5F5C">
        <w:rPr>
          <w:sz w:val="22"/>
          <w:szCs w:val="22"/>
        </w:rPr>
        <w:t>ttachment 2.</w:t>
      </w:r>
    </w:p>
    <w:p w:rsidR="00D214D7" w:rsidRPr="00FA5F5C" w:rsidRDefault="00D214D7" w:rsidP="009A7CA7">
      <w:pPr>
        <w:pStyle w:val="Header"/>
        <w:ind w:left="1440"/>
        <w:rPr>
          <w:sz w:val="22"/>
          <w:szCs w:val="22"/>
        </w:rPr>
      </w:pPr>
    </w:p>
    <w:p w:rsidR="008C0023" w:rsidRPr="00FA5F5C" w:rsidRDefault="00D214D7" w:rsidP="009A7CA7">
      <w:pPr>
        <w:pStyle w:val="Header"/>
        <w:ind w:left="1440"/>
        <w:rPr>
          <w:sz w:val="22"/>
          <w:szCs w:val="22"/>
        </w:rPr>
      </w:pPr>
      <w:r w:rsidRPr="00FA5F5C">
        <w:rPr>
          <w:sz w:val="22"/>
          <w:szCs w:val="22"/>
        </w:rPr>
        <w:t>Q</w:t>
      </w:r>
      <w:r w:rsidR="00046ABD" w:rsidRPr="00FA5F5C">
        <w:rPr>
          <w:sz w:val="22"/>
          <w:szCs w:val="22"/>
        </w:rPr>
        <w:t xml:space="preserve">uestions regarding this policy should be directed to Ms. Theresa Garnes at </w:t>
      </w:r>
      <w:hyperlink r:id="rId22" w:history="1">
        <w:r w:rsidR="00046ABD" w:rsidRPr="00FA5F5C">
          <w:rPr>
            <w:rStyle w:val="Hyperlink"/>
            <w:sz w:val="22"/>
            <w:szCs w:val="22"/>
          </w:rPr>
          <w:t>Theresa.Garnes@nih.gov</w:t>
        </w:r>
      </w:hyperlink>
      <w:r w:rsidR="0013157D" w:rsidRPr="00FA5F5C">
        <w:rPr>
          <w:sz w:val="22"/>
          <w:szCs w:val="22"/>
        </w:rPr>
        <w:t xml:space="preserve"> .</w:t>
      </w:r>
    </w:p>
    <w:p w:rsidR="0013157D" w:rsidRPr="00FA5F5C" w:rsidRDefault="0013157D" w:rsidP="009A7CA7">
      <w:pPr>
        <w:pStyle w:val="Header"/>
        <w:ind w:left="1440"/>
        <w:rPr>
          <w:sz w:val="22"/>
          <w:szCs w:val="22"/>
        </w:rPr>
      </w:pPr>
    </w:p>
    <w:p w:rsidR="007600B3" w:rsidRPr="00FA5F5C" w:rsidRDefault="00041D5F" w:rsidP="009A7CA7">
      <w:pPr>
        <w:pStyle w:val="Heading2"/>
        <w:rPr>
          <w:rFonts w:ascii="Times New Roman" w:hAnsi="Times New Roman" w:cs="Times New Roman"/>
          <w:color w:val="auto"/>
          <w:sz w:val="22"/>
          <w:szCs w:val="22"/>
        </w:rPr>
      </w:pPr>
      <w:r w:rsidRPr="00FA5F5C">
        <w:rPr>
          <w:rFonts w:ascii="Times New Roman" w:hAnsi="Times New Roman" w:cs="Times New Roman"/>
          <w:color w:val="auto"/>
          <w:sz w:val="22"/>
          <w:szCs w:val="22"/>
        </w:rPr>
        <w:t>Conference/Meetings conducted via Grant Mechanism</w:t>
      </w:r>
    </w:p>
    <w:p w:rsidR="007E3558" w:rsidRPr="00FA5F5C" w:rsidRDefault="007E3558" w:rsidP="007E3558">
      <w:pPr>
        <w:rPr>
          <w:sz w:val="22"/>
          <w:szCs w:val="22"/>
        </w:rPr>
      </w:pPr>
    </w:p>
    <w:p w:rsidR="007E3558" w:rsidRDefault="00046ABD" w:rsidP="00FA5F5C">
      <w:pPr>
        <w:pStyle w:val="Heading3"/>
        <w:jc w:val="left"/>
        <w:rPr>
          <w:b w:val="0"/>
          <w:sz w:val="22"/>
          <w:szCs w:val="22"/>
        </w:rPr>
      </w:pPr>
      <w:r w:rsidRPr="00FA5F5C">
        <w:rPr>
          <w:sz w:val="22"/>
          <w:szCs w:val="22"/>
        </w:rPr>
        <w:t>Conference Grants (R</w:t>
      </w:r>
      <w:r w:rsidR="004966F0" w:rsidRPr="00FA5F5C">
        <w:rPr>
          <w:sz w:val="22"/>
          <w:szCs w:val="22"/>
        </w:rPr>
        <w:t>13s</w:t>
      </w:r>
      <w:r w:rsidRPr="00FA5F5C">
        <w:rPr>
          <w:sz w:val="22"/>
          <w:szCs w:val="22"/>
        </w:rPr>
        <w:t>/U13s):</w:t>
      </w:r>
      <w:r w:rsidR="00041D5F" w:rsidRPr="00FA5F5C">
        <w:rPr>
          <w:sz w:val="22"/>
          <w:szCs w:val="22"/>
        </w:rPr>
        <w:t xml:space="preserve">  </w:t>
      </w:r>
      <w:r w:rsidR="00041D5F" w:rsidRPr="00FA5F5C">
        <w:rPr>
          <w:b w:val="0"/>
          <w:sz w:val="22"/>
          <w:szCs w:val="22"/>
        </w:rPr>
        <w:t>A</w:t>
      </w:r>
      <w:r w:rsidRPr="00FA5F5C">
        <w:rPr>
          <w:b w:val="0"/>
          <w:sz w:val="22"/>
          <w:szCs w:val="22"/>
        </w:rPr>
        <w:t>t this time, the new policy applies to R</w:t>
      </w:r>
      <w:r w:rsidR="004966F0" w:rsidRPr="00FA5F5C">
        <w:rPr>
          <w:b w:val="0"/>
          <w:sz w:val="22"/>
          <w:szCs w:val="22"/>
        </w:rPr>
        <w:t>13s</w:t>
      </w:r>
      <w:r w:rsidRPr="00FA5F5C">
        <w:rPr>
          <w:b w:val="0"/>
          <w:sz w:val="22"/>
          <w:szCs w:val="22"/>
        </w:rPr>
        <w:t xml:space="preserve">/U13s. Other grant mechanisms that are specifically issued to support conferences will be considered on a case by case basis. </w:t>
      </w:r>
    </w:p>
    <w:p w:rsidR="00FA5F5C" w:rsidRPr="00FA5F5C" w:rsidRDefault="00FA5F5C" w:rsidP="00FA5F5C">
      <w:pPr>
        <w:rPr>
          <w:lang w:eastAsia="en-PH"/>
        </w:rPr>
      </w:pPr>
    </w:p>
    <w:p w:rsidR="00FA5F5C" w:rsidRDefault="00041D5F" w:rsidP="00FA5F5C">
      <w:pPr>
        <w:ind w:left="1440"/>
        <w:rPr>
          <w:sz w:val="22"/>
          <w:szCs w:val="22"/>
        </w:rPr>
      </w:pPr>
      <w:r w:rsidRPr="00FA5F5C">
        <w:rPr>
          <w:sz w:val="22"/>
          <w:szCs w:val="22"/>
        </w:rPr>
        <w:t>The Office of Extramural Research (</w:t>
      </w:r>
      <w:r w:rsidR="00046ABD" w:rsidRPr="00FA5F5C">
        <w:rPr>
          <w:sz w:val="22"/>
          <w:szCs w:val="22"/>
        </w:rPr>
        <w:t>OER</w:t>
      </w:r>
      <w:r w:rsidRPr="00FA5F5C">
        <w:rPr>
          <w:sz w:val="22"/>
          <w:szCs w:val="22"/>
        </w:rPr>
        <w:t>)</w:t>
      </w:r>
      <w:r w:rsidR="00046ABD" w:rsidRPr="00FA5F5C">
        <w:rPr>
          <w:sz w:val="22"/>
          <w:szCs w:val="22"/>
        </w:rPr>
        <w:t>/O</w:t>
      </w:r>
      <w:r w:rsidR="00265BE2" w:rsidRPr="00FA5F5C">
        <w:rPr>
          <w:sz w:val="22"/>
          <w:szCs w:val="22"/>
        </w:rPr>
        <w:t>ffice of Extramural Programs (O</w:t>
      </w:r>
      <w:r w:rsidR="00046ABD" w:rsidRPr="00FA5F5C">
        <w:rPr>
          <w:sz w:val="22"/>
          <w:szCs w:val="22"/>
        </w:rPr>
        <w:t>EP</w:t>
      </w:r>
      <w:r w:rsidR="00265BE2" w:rsidRPr="00FA5F5C">
        <w:rPr>
          <w:sz w:val="22"/>
          <w:szCs w:val="22"/>
        </w:rPr>
        <w:t>)</w:t>
      </w:r>
      <w:r w:rsidR="00046ABD" w:rsidRPr="00FA5F5C">
        <w:rPr>
          <w:sz w:val="22"/>
          <w:szCs w:val="22"/>
        </w:rPr>
        <w:t xml:space="preserve"> will modify the parent conference grant announcement </w:t>
      </w:r>
      <w:r w:rsidR="004966F0" w:rsidRPr="00FA5F5C">
        <w:rPr>
          <w:sz w:val="22"/>
          <w:szCs w:val="22"/>
        </w:rPr>
        <w:t xml:space="preserve">and all active R13/U13 FOAs </w:t>
      </w:r>
      <w:r w:rsidR="00046ABD" w:rsidRPr="00FA5F5C">
        <w:rPr>
          <w:sz w:val="22"/>
          <w:szCs w:val="22"/>
        </w:rPr>
        <w:t>to make it clear to all applicants and successful grantees, at the outset, that</w:t>
      </w:r>
      <w:r w:rsidRPr="00FA5F5C">
        <w:rPr>
          <w:sz w:val="22"/>
          <w:szCs w:val="22"/>
        </w:rPr>
        <w:t xml:space="preserve"> food, meals/</w:t>
      </w:r>
      <w:r w:rsidR="00046ABD" w:rsidRPr="00FA5F5C">
        <w:rPr>
          <w:sz w:val="22"/>
          <w:szCs w:val="22"/>
        </w:rPr>
        <w:t xml:space="preserve"> beverages are unallowable charges to the NIH supp</w:t>
      </w:r>
      <w:r w:rsidR="008B126E" w:rsidRPr="00FA5F5C">
        <w:rPr>
          <w:sz w:val="22"/>
          <w:szCs w:val="22"/>
        </w:rPr>
        <w:t>orted conference grant</w:t>
      </w:r>
      <w:r w:rsidR="00046ABD" w:rsidRPr="00FA5F5C">
        <w:rPr>
          <w:sz w:val="22"/>
          <w:szCs w:val="22"/>
        </w:rPr>
        <w:t xml:space="preserve">. </w:t>
      </w:r>
      <w:r w:rsidR="004966F0" w:rsidRPr="00FA5F5C">
        <w:rPr>
          <w:sz w:val="22"/>
          <w:szCs w:val="22"/>
        </w:rPr>
        <w:t xml:space="preserve"> OER/OEP will also modify the template used for R13s/U13s to add new required language prohibiting costs for food/meals/beverages.  </w:t>
      </w:r>
    </w:p>
    <w:p w:rsidR="003B06EE" w:rsidRPr="00FA5F5C" w:rsidRDefault="00046ABD" w:rsidP="00FA5F5C">
      <w:pPr>
        <w:pStyle w:val="NormalWeb"/>
        <w:spacing w:after="0"/>
        <w:ind w:left="1440"/>
        <w:rPr>
          <w:sz w:val="22"/>
          <w:szCs w:val="22"/>
        </w:rPr>
      </w:pPr>
      <w:r w:rsidRPr="00FA5F5C">
        <w:rPr>
          <w:sz w:val="22"/>
          <w:szCs w:val="22"/>
        </w:rPr>
        <w:t xml:space="preserve">Additionally, grant </w:t>
      </w:r>
      <w:r w:rsidR="00D23004" w:rsidRPr="00FA5F5C">
        <w:rPr>
          <w:sz w:val="22"/>
          <w:szCs w:val="22"/>
        </w:rPr>
        <w:t>management staff</w:t>
      </w:r>
      <w:r w:rsidR="00755611" w:rsidRPr="00FA5F5C">
        <w:rPr>
          <w:sz w:val="22"/>
          <w:szCs w:val="22"/>
        </w:rPr>
        <w:t xml:space="preserve"> are required</w:t>
      </w:r>
      <w:r w:rsidRPr="00FA5F5C">
        <w:rPr>
          <w:sz w:val="22"/>
          <w:szCs w:val="22"/>
        </w:rPr>
        <w:t xml:space="preserve"> to add a term and condition to all competing and noncompeting </w:t>
      </w:r>
      <w:r w:rsidR="004966F0" w:rsidRPr="00FA5F5C">
        <w:rPr>
          <w:sz w:val="22"/>
          <w:szCs w:val="22"/>
        </w:rPr>
        <w:t xml:space="preserve">R13 &amp; U13 </w:t>
      </w:r>
      <w:r w:rsidRPr="00FA5F5C">
        <w:rPr>
          <w:sz w:val="22"/>
          <w:szCs w:val="22"/>
        </w:rPr>
        <w:t xml:space="preserve">awards </w:t>
      </w:r>
      <w:r w:rsidR="004966F0" w:rsidRPr="00FA5F5C">
        <w:rPr>
          <w:sz w:val="22"/>
          <w:szCs w:val="22"/>
        </w:rPr>
        <w:t xml:space="preserve">issued on/after 1/23/2012 </w:t>
      </w:r>
      <w:r w:rsidRPr="00FA5F5C">
        <w:rPr>
          <w:sz w:val="22"/>
          <w:szCs w:val="22"/>
        </w:rPr>
        <w:t>that prohibits food/meal</w:t>
      </w:r>
      <w:r w:rsidR="00041D5F" w:rsidRPr="00FA5F5C">
        <w:rPr>
          <w:sz w:val="22"/>
          <w:szCs w:val="22"/>
        </w:rPr>
        <w:t>s/beverage</w:t>
      </w:r>
      <w:r w:rsidRPr="00FA5F5C">
        <w:rPr>
          <w:sz w:val="22"/>
          <w:szCs w:val="22"/>
        </w:rPr>
        <w:t xml:space="preserve"> costs from being charged to NIH supported conference grants.  </w:t>
      </w:r>
      <w:r w:rsidR="0015026E" w:rsidRPr="00FA5F5C">
        <w:rPr>
          <w:sz w:val="22"/>
          <w:szCs w:val="22"/>
        </w:rPr>
        <w:t>The Office of Policy for Extramural Research Administration (OPERA</w:t>
      </w:r>
      <w:r w:rsidR="00561FC1" w:rsidRPr="00FA5F5C">
        <w:rPr>
          <w:sz w:val="22"/>
          <w:szCs w:val="22"/>
        </w:rPr>
        <w:t xml:space="preserve">) </w:t>
      </w:r>
      <w:r w:rsidR="003B06EE" w:rsidRPr="00FA5F5C">
        <w:rPr>
          <w:sz w:val="22"/>
          <w:szCs w:val="22"/>
        </w:rPr>
        <w:t xml:space="preserve">has </w:t>
      </w:r>
      <w:r w:rsidRPr="00FA5F5C">
        <w:rPr>
          <w:sz w:val="22"/>
          <w:szCs w:val="22"/>
        </w:rPr>
        <w:t>issue</w:t>
      </w:r>
      <w:r w:rsidR="003B06EE" w:rsidRPr="00FA5F5C">
        <w:rPr>
          <w:sz w:val="22"/>
          <w:szCs w:val="22"/>
        </w:rPr>
        <w:t>d</w:t>
      </w:r>
      <w:r w:rsidRPr="00FA5F5C">
        <w:rPr>
          <w:sz w:val="22"/>
          <w:szCs w:val="22"/>
        </w:rPr>
        <w:t xml:space="preserve"> interim guidance to grantees in the NIH Guide for Grants and Contracts that </w:t>
      </w:r>
      <w:r w:rsidR="003B06EE" w:rsidRPr="00FA5F5C">
        <w:rPr>
          <w:sz w:val="22"/>
          <w:szCs w:val="22"/>
        </w:rPr>
        <w:t xml:space="preserve">notifies </w:t>
      </w:r>
      <w:r w:rsidRPr="00FA5F5C">
        <w:rPr>
          <w:sz w:val="22"/>
          <w:szCs w:val="22"/>
        </w:rPr>
        <w:t>the public of this longstanding policy chan</w:t>
      </w:r>
      <w:r w:rsidR="003B06EE" w:rsidRPr="00FA5F5C">
        <w:rPr>
          <w:sz w:val="22"/>
          <w:szCs w:val="22"/>
        </w:rPr>
        <w:t xml:space="preserve">ge related to conference grants (refer to “New NIH Policy on Efficient Spending Related to Grants Supporting Conferences and Meetings” </w:t>
      </w:r>
      <w:hyperlink r:id="rId23" w:history="1">
        <w:r w:rsidR="003B06EE" w:rsidRPr="00FA5F5C">
          <w:rPr>
            <w:rStyle w:val="Hyperlink"/>
            <w:sz w:val="22"/>
            <w:szCs w:val="22"/>
          </w:rPr>
          <w:t>(NOT-OD-12-041)</w:t>
        </w:r>
      </w:hyperlink>
      <w:r w:rsidR="003B06EE" w:rsidRPr="00FA5F5C">
        <w:rPr>
          <w:sz w:val="22"/>
          <w:szCs w:val="22"/>
        </w:rPr>
        <w:t xml:space="preserve"> ).</w:t>
      </w:r>
    </w:p>
    <w:p w:rsidR="00FA5F5C" w:rsidRDefault="00FA5F5C" w:rsidP="00FA5F5C">
      <w:pPr>
        <w:ind w:left="1440"/>
        <w:rPr>
          <w:sz w:val="22"/>
          <w:szCs w:val="22"/>
        </w:rPr>
      </w:pPr>
    </w:p>
    <w:p w:rsidR="00724FF4" w:rsidRPr="00FA5F5C" w:rsidRDefault="00046ABD" w:rsidP="00FA5F5C">
      <w:pPr>
        <w:ind w:left="1440"/>
        <w:rPr>
          <w:sz w:val="22"/>
          <w:szCs w:val="22"/>
        </w:rPr>
      </w:pPr>
      <w:r w:rsidRPr="00FA5F5C">
        <w:rPr>
          <w:sz w:val="22"/>
          <w:szCs w:val="22"/>
        </w:rPr>
        <w:t xml:space="preserve">The language in the NIH Grants Policy </w:t>
      </w:r>
      <w:r w:rsidR="0015026E" w:rsidRPr="00FA5F5C">
        <w:rPr>
          <w:sz w:val="22"/>
          <w:szCs w:val="22"/>
        </w:rPr>
        <w:t xml:space="preserve">(GPS) </w:t>
      </w:r>
      <w:r w:rsidRPr="00FA5F5C">
        <w:rPr>
          <w:sz w:val="22"/>
          <w:szCs w:val="22"/>
        </w:rPr>
        <w:t>Statement will be revised during the next annual revision process (FY</w:t>
      </w:r>
      <w:r w:rsidR="00810E36" w:rsidRPr="00FA5F5C">
        <w:rPr>
          <w:sz w:val="22"/>
          <w:szCs w:val="22"/>
        </w:rPr>
        <w:t>20</w:t>
      </w:r>
      <w:r w:rsidRPr="00FA5F5C">
        <w:rPr>
          <w:sz w:val="22"/>
          <w:szCs w:val="22"/>
        </w:rPr>
        <w:t xml:space="preserve">13); this interim guidance will serve as standing guidance until the NIH GPS is revised to include the new policies. </w:t>
      </w:r>
    </w:p>
    <w:p w:rsidR="00724FF4" w:rsidRPr="00FA5F5C" w:rsidRDefault="00724FF4" w:rsidP="00FA5F5C">
      <w:pPr>
        <w:ind w:left="1440"/>
        <w:rPr>
          <w:sz w:val="22"/>
          <w:szCs w:val="22"/>
        </w:rPr>
      </w:pPr>
    </w:p>
    <w:p w:rsidR="007E3558" w:rsidRPr="00FA5F5C" w:rsidRDefault="00046ABD" w:rsidP="00FA5F5C">
      <w:pPr>
        <w:ind w:left="1440"/>
        <w:rPr>
          <w:bCs/>
          <w:color w:val="000000"/>
          <w:sz w:val="22"/>
          <w:szCs w:val="22"/>
        </w:rPr>
      </w:pPr>
      <w:r w:rsidRPr="00FA5F5C">
        <w:rPr>
          <w:bCs/>
          <w:color w:val="000000"/>
          <w:sz w:val="22"/>
          <w:szCs w:val="22"/>
        </w:rPr>
        <w:t xml:space="preserve">For all conference grants that are issued after January </w:t>
      </w:r>
      <w:r w:rsidR="00814728" w:rsidRPr="00FA5F5C">
        <w:rPr>
          <w:bCs/>
          <w:color w:val="000000"/>
          <w:sz w:val="22"/>
          <w:szCs w:val="22"/>
        </w:rPr>
        <w:t>3</w:t>
      </w:r>
      <w:r w:rsidRPr="00FA5F5C">
        <w:rPr>
          <w:bCs/>
          <w:color w:val="000000"/>
          <w:sz w:val="22"/>
          <w:szCs w:val="22"/>
        </w:rPr>
        <w:t>, 2012, grant officials must include language in the terms and conditions that prohibit grantees from charging food/meal and beverage costs to the grant.</w:t>
      </w:r>
      <w:r w:rsidR="004966F0" w:rsidRPr="00FA5F5C">
        <w:rPr>
          <w:bCs/>
          <w:color w:val="000000"/>
          <w:sz w:val="22"/>
          <w:szCs w:val="22"/>
        </w:rPr>
        <w:t xml:space="preserve">  </w:t>
      </w:r>
      <w:r w:rsidR="0015026E" w:rsidRPr="00FA5F5C">
        <w:rPr>
          <w:bCs/>
          <w:color w:val="000000"/>
          <w:sz w:val="22"/>
          <w:szCs w:val="22"/>
        </w:rPr>
        <w:t>The specific language is as follows:</w:t>
      </w:r>
    </w:p>
    <w:p w:rsidR="0015026E" w:rsidRPr="00FA5F5C" w:rsidRDefault="0015026E" w:rsidP="00FA5F5C">
      <w:pPr>
        <w:rPr>
          <w:bCs/>
          <w:color w:val="000000"/>
          <w:sz w:val="22"/>
          <w:szCs w:val="22"/>
        </w:rPr>
      </w:pPr>
    </w:p>
    <w:p w:rsidR="0015026E" w:rsidRPr="00FA5F5C" w:rsidRDefault="0015026E" w:rsidP="00FA5F5C">
      <w:pPr>
        <w:ind w:left="1440"/>
        <w:rPr>
          <w:sz w:val="22"/>
          <w:szCs w:val="22"/>
        </w:rPr>
      </w:pPr>
      <w:r w:rsidRPr="00FA5F5C">
        <w:rPr>
          <w:sz w:val="22"/>
          <w:szCs w:val="22"/>
        </w:rPr>
        <w:t>“Direct charges for meals/food and beverages are unallowable charges to this project.”</w:t>
      </w:r>
    </w:p>
    <w:p w:rsidR="0015026E" w:rsidRPr="00FA5F5C" w:rsidRDefault="0015026E" w:rsidP="0015026E">
      <w:pPr>
        <w:rPr>
          <w:sz w:val="22"/>
          <w:szCs w:val="22"/>
        </w:rPr>
      </w:pPr>
    </w:p>
    <w:p w:rsidR="00FA5F5C" w:rsidRDefault="00FA5F5C" w:rsidP="009A7CA7">
      <w:pPr>
        <w:ind w:left="1440"/>
        <w:rPr>
          <w:sz w:val="22"/>
          <w:szCs w:val="22"/>
        </w:rPr>
      </w:pPr>
    </w:p>
    <w:p w:rsidR="0015026E" w:rsidRPr="00FA5F5C" w:rsidRDefault="0015026E" w:rsidP="009A7CA7">
      <w:pPr>
        <w:ind w:left="1440"/>
        <w:rPr>
          <w:sz w:val="22"/>
          <w:szCs w:val="22"/>
        </w:rPr>
      </w:pPr>
      <w:r w:rsidRPr="00FA5F5C">
        <w:rPr>
          <w:sz w:val="22"/>
          <w:szCs w:val="22"/>
        </w:rPr>
        <w:t>OER/</w:t>
      </w:r>
      <w:r w:rsidR="004A3FC9" w:rsidRPr="00FA5F5C">
        <w:rPr>
          <w:sz w:val="22"/>
          <w:szCs w:val="22"/>
        </w:rPr>
        <w:t>OPERA/</w:t>
      </w:r>
      <w:r w:rsidRPr="00FA5F5C">
        <w:rPr>
          <w:sz w:val="22"/>
          <w:szCs w:val="22"/>
        </w:rPr>
        <w:t>D</w:t>
      </w:r>
      <w:r w:rsidR="00810E36" w:rsidRPr="00FA5F5C">
        <w:rPr>
          <w:sz w:val="22"/>
          <w:szCs w:val="22"/>
        </w:rPr>
        <w:t>ivision of Grants Policy (DGP)</w:t>
      </w:r>
      <w:r w:rsidR="004A3FC9" w:rsidRPr="00FA5F5C">
        <w:rPr>
          <w:sz w:val="22"/>
          <w:szCs w:val="22"/>
        </w:rPr>
        <w:t xml:space="preserve"> </w:t>
      </w:r>
      <w:r w:rsidRPr="00FA5F5C">
        <w:rPr>
          <w:sz w:val="22"/>
          <w:szCs w:val="22"/>
        </w:rPr>
        <w:t>will work with eRA to include this term as an automated term on R13 and U13 awards so that the grant officials will not have to manually insert it. This may take some time; OPERA/DGP staff will keep grant officials abreast of the progress.</w:t>
      </w:r>
    </w:p>
    <w:p w:rsidR="0015026E" w:rsidRPr="00FA5F5C" w:rsidRDefault="0015026E" w:rsidP="0015026E">
      <w:pPr>
        <w:rPr>
          <w:bCs/>
          <w:color w:val="000000"/>
          <w:sz w:val="22"/>
          <w:szCs w:val="22"/>
        </w:rPr>
      </w:pPr>
    </w:p>
    <w:p w:rsidR="004966F0" w:rsidRPr="00FA5F5C" w:rsidRDefault="004966F0" w:rsidP="009A7CA7">
      <w:pPr>
        <w:pStyle w:val="Heading3"/>
        <w:jc w:val="left"/>
        <w:rPr>
          <w:b w:val="0"/>
          <w:sz w:val="22"/>
          <w:szCs w:val="22"/>
        </w:rPr>
      </w:pPr>
      <w:r w:rsidRPr="00FA5F5C">
        <w:rPr>
          <w:sz w:val="22"/>
          <w:szCs w:val="22"/>
        </w:rPr>
        <w:t xml:space="preserve">Research and Other Mechanisms that are not awarded specifically to support conferences:  </w:t>
      </w:r>
      <w:r w:rsidRPr="00FA5F5C">
        <w:rPr>
          <w:b w:val="0"/>
          <w:sz w:val="22"/>
          <w:szCs w:val="22"/>
        </w:rPr>
        <w:t>Th</w:t>
      </w:r>
      <w:r w:rsidR="00D23004" w:rsidRPr="00FA5F5C">
        <w:rPr>
          <w:b w:val="0"/>
          <w:sz w:val="22"/>
          <w:szCs w:val="22"/>
        </w:rPr>
        <w:t>is policy does not apply as meetings are</w:t>
      </w:r>
      <w:r w:rsidRPr="00FA5F5C">
        <w:rPr>
          <w:b w:val="0"/>
          <w:sz w:val="22"/>
          <w:szCs w:val="22"/>
        </w:rPr>
        <w:t xml:space="preserve"> considered an ancillary effort under the grant and cooperative agreement and is not subject to the approval and reporting requirements of the Department’s policy related to efficient spending.</w:t>
      </w:r>
    </w:p>
    <w:p w:rsidR="004966F0" w:rsidRPr="00FA5F5C" w:rsidRDefault="004966F0" w:rsidP="007E3558">
      <w:pPr>
        <w:rPr>
          <w:sz w:val="22"/>
          <w:szCs w:val="22"/>
        </w:rPr>
      </w:pPr>
    </w:p>
    <w:p w:rsidR="007E3558" w:rsidRPr="00FA5F5C" w:rsidRDefault="00046ABD" w:rsidP="009A7CA7">
      <w:pPr>
        <w:pStyle w:val="Heading3"/>
        <w:jc w:val="left"/>
        <w:rPr>
          <w:b w:val="0"/>
          <w:sz w:val="22"/>
          <w:szCs w:val="22"/>
        </w:rPr>
      </w:pPr>
      <w:r w:rsidRPr="00FA5F5C">
        <w:rPr>
          <w:sz w:val="22"/>
          <w:szCs w:val="22"/>
        </w:rPr>
        <w:t>Approval Re</w:t>
      </w:r>
      <w:r w:rsidR="004A3FC9" w:rsidRPr="00FA5F5C">
        <w:rPr>
          <w:sz w:val="22"/>
          <w:szCs w:val="22"/>
        </w:rPr>
        <w:t xml:space="preserve">sponsibilities and Procedures:  </w:t>
      </w:r>
      <w:r w:rsidR="00561FC1" w:rsidRPr="00FA5F5C">
        <w:rPr>
          <w:b w:val="0"/>
          <w:sz w:val="22"/>
          <w:szCs w:val="22"/>
        </w:rPr>
        <w:t>IC Directors</w:t>
      </w:r>
      <w:r w:rsidRPr="00FA5F5C">
        <w:rPr>
          <w:b w:val="0"/>
          <w:sz w:val="22"/>
          <w:szCs w:val="22"/>
        </w:rPr>
        <w:t xml:space="preserve"> will be required to sign pay lists for all conference grants approving funds to support NIH conference grants. The signature provides assurance that the funds used to support the conferences are mission critical and costs requested by the applicant(s) appear reasonable.</w:t>
      </w:r>
      <w:r w:rsidR="004966F0" w:rsidRPr="00FA5F5C">
        <w:rPr>
          <w:b w:val="0"/>
          <w:sz w:val="22"/>
          <w:szCs w:val="22"/>
        </w:rPr>
        <w:t xml:space="preserve">  </w:t>
      </w:r>
      <w:r w:rsidR="004A3FC9" w:rsidRPr="00FA5F5C">
        <w:rPr>
          <w:b w:val="0"/>
          <w:sz w:val="22"/>
          <w:szCs w:val="22"/>
        </w:rPr>
        <w:t xml:space="preserve">Language will be added to the pay lists </w:t>
      </w:r>
      <w:r w:rsidR="00810E36" w:rsidRPr="00FA5F5C">
        <w:rPr>
          <w:b w:val="0"/>
          <w:sz w:val="22"/>
          <w:szCs w:val="22"/>
        </w:rPr>
        <w:t xml:space="preserve">and </w:t>
      </w:r>
      <w:r w:rsidR="00FA452D" w:rsidRPr="00FA5F5C">
        <w:rPr>
          <w:b w:val="0"/>
          <w:sz w:val="22"/>
          <w:szCs w:val="22"/>
        </w:rPr>
        <w:t xml:space="preserve">should read </w:t>
      </w:r>
      <w:r w:rsidR="004A3FC9" w:rsidRPr="00FA5F5C">
        <w:rPr>
          <w:b w:val="0"/>
          <w:sz w:val="22"/>
          <w:szCs w:val="22"/>
        </w:rPr>
        <w:t>as follows:</w:t>
      </w:r>
    </w:p>
    <w:p w:rsidR="004A3FC9" w:rsidRPr="00FA5F5C" w:rsidRDefault="004A3FC9" w:rsidP="004A3FC9">
      <w:pPr>
        <w:pStyle w:val="ListParagraph"/>
        <w:rPr>
          <w:sz w:val="22"/>
          <w:szCs w:val="22"/>
        </w:rPr>
      </w:pPr>
    </w:p>
    <w:p w:rsidR="004A3FC9" w:rsidRPr="00FA5F5C" w:rsidRDefault="004A3FC9" w:rsidP="009A7CA7">
      <w:pPr>
        <w:ind w:left="1440"/>
        <w:rPr>
          <w:sz w:val="22"/>
          <w:szCs w:val="22"/>
        </w:rPr>
      </w:pPr>
      <w:r w:rsidRPr="00FA5F5C">
        <w:rPr>
          <w:sz w:val="22"/>
          <w:szCs w:val="22"/>
        </w:rPr>
        <w:t>“This approval confirms that all costs associated with this conference are critical to the mission of [insert IC name] and the costs associated with this conference are reasonable based on the justification that was reviewed and approved under the NIH dual review process. Prior to issuance, costs will be analyzed by the grants official to further analyze whether the costs are allowable, allocable, and reasonable to support the conference.”</w:t>
      </w:r>
    </w:p>
    <w:p w:rsidR="004A3FC9" w:rsidRPr="00FA5F5C" w:rsidRDefault="004A3FC9" w:rsidP="004A3FC9">
      <w:pPr>
        <w:rPr>
          <w:sz w:val="22"/>
          <w:szCs w:val="22"/>
        </w:rPr>
      </w:pPr>
    </w:p>
    <w:p w:rsidR="007E3558" w:rsidRPr="00FA5F5C" w:rsidRDefault="00561FC1" w:rsidP="009A7CA7">
      <w:pPr>
        <w:ind w:left="1440"/>
        <w:rPr>
          <w:sz w:val="22"/>
          <w:szCs w:val="22"/>
        </w:rPr>
      </w:pPr>
      <w:r w:rsidRPr="00FA5F5C">
        <w:rPr>
          <w:sz w:val="22"/>
          <w:szCs w:val="22"/>
        </w:rPr>
        <w:t>Delegations for approval are</w:t>
      </w:r>
      <w:r w:rsidR="00046ABD" w:rsidRPr="00FA5F5C">
        <w:rPr>
          <w:sz w:val="22"/>
          <w:szCs w:val="22"/>
        </w:rPr>
        <w:t xml:space="preserve"> as follows regardless of the threshold: </w:t>
      </w:r>
    </w:p>
    <w:p w:rsidR="00810E36" w:rsidRPr="00FA5F5C" w:rsidRDefault="00810E36" w:rsidP="009A7CA7">
      <w:pPr>
        <w:ind w:left="1440"/>
        <w:rPr>
          <w:sz w:val="22"/>
          <w:szCs w:val="22"/>
        </w:rPr>
      </w:pPr>
    </w:p>
    <w:p w:rsidR="007E3558" w:rsidRPr="00FA5F5C" w:rsidRDefault="00046ABD" w:rsidP="009E03D3">
      <w:pPr>
        <w:pStyle w:val="ListParagraph"/>
        <w:numPr>
          <w:ilvl w:val="0"/>
          <w:numId w:val="11"/>
        </w:numPr>
        <w:spacing w:after="200" w:line="276" w:lineRule="auto"/>
        <w:rPr>
          <w:sz w:val="22"/>
          <w:szCs w:val="22"/>
        </w:rPr>
      </w:pPr>
      <w:r w:rsidRPr="00FA5F5C">
        <w:rPr>
          <w:sz w:val="22"/>
          <w:szCs w:val="22"/>
        </w:rPr>
        <w:t>NIH Director, delegable to the IC Directors without further re-delegation.</w:t>
      </w:r>
    </w:p>
    <w:p w:rsidR="007E3558" w:rsidRPr="00FA5F5C" w:rsidRDefault="00046ABD" w:rsidP="009A7CA7">
      <w:pPr>
        <w:ind w:left="1440"/>
        <w:rPr>
          <w:sz w:val="22"/>
          <w:szCs w:val="22"/>
        </w:rPr>
      </w:pPr>
      <w:r w:rsidRPr="00FA5F5C">
        <w:rPr>
          <w:sz w:val="22"/>
          <w:szCs w:val="22"/>
        </w:rPr>
        <w:t xml:space="preserve">Grants Management Officials will maintain their level of responsibility by making sure costs associated with the conference grants are in line with the applicable cost principles during their cost analysis. The grants official must also include a term and condition in the conference grant </w:t>
      </w:r>
      <w:r w:rsidR="00621D57" w:rsidRPr="00FA5F5C">
        <w:rPr>
          <w:sz w:val="22"/>
          <w:szCs w:val="22"/>
        </w:rPr>
        <w:t>awa</w:t>
      </w:r>
      <w:r w:rsidR="004966F0" w:rsidRPr="00FA5F5C">
        <w:rPr>
          <w:sz w:val="22"/>
          <w:szCs w:val="22"/>
        </w:rPr>
        <w:t xml:space="preserve">rd </w:t>
      </w:r>
      <w:r w:rsidRPr="00FA5F5C">
        <w:rPr>
          <w:sz w:val="22"/>
          <w:szCs w:val="22"/>
        </w:rPr>
        <w:t xml:space="preserve">that makes it clear to the grantee that food/meal and beverage costs are unallowable costs </w:t>
      </w:r>
      <w:r w:rsidR="008B126E" w:rsidRPr="00FA5F5C">
        <w:rPr>
          <w:sz w:val="22"/>
          <w:szCs w:val="22"/>
        </w:rPr>
        <w:t>to the grant</w:t>
      </w:r>
      <w:r w:rsidRPr="00FA5F5C">
        <w:rPr>
          <w:sz w:val="22"/>
          <w:szCs w:val="22"/>
        </w:rPr>
        <w:t xml:space="preserve">.  Also, grants officials must ensure that the pay list is signed by the IC Director and filed in the </w:t>
      </w:r>
      <w:r w:rsidR="0087763C" w:rsidRPr="00FA5F5C">
        <w:rPr>
          <w:sz w:val="22"/>
          <w:szCs w:val="22"/>
        </w:rPr>
        <w:t>appropriate file.</w:t>
      </w:r>
    </w:p>
    <w:p w:rsidR="00037E15" w:rsidRPr="00FA5F5C" w:rsidRDefault="00037E15" w:rsidP="007E3558">
      <w:pPr>
        <w:rPr>
          <w:sz w:val="22"/>
          <w:szCs w:val="22"/>
        </w:rPr>
      </w:pPr>
    </w:p>
    <w:p w:rsidR="007E3558" w:rsidRPr="00FA5F5C" w:rsidRDefault="00046ABD" w:rsidP="009A7CA7">
      <w:pPr>
        <w:ind w:left="1440"/>
        <w:rPr>
          <w:sz w:val="22"/>
          <w:szCs w:val="22"/>
        </w:rPr>
      </w:pPr>
      <w:r w:rsidRPr="00FA5F5C">
        <w:rPr>
          <w:sz w:val="22"/>
          <w:szCs w:val="22"/>
        </w:rPr>
        <w:t xml:space="preserve">Grants Management Officers must </w:t>
      </w:r>
      <w:r w:rsidR="00053DA3" w:rsidRPr="00FA5F5C">
        <w:rPr>
          <w:sz w:val="22"/>
          <w:szCs w:val="22"/>
        </w:rPr>
        <w:t xml:space="preserve">continue to </w:t>
      </w:r>
      <w:r w:rsidRPr="00FA5F5C">
        <w:rPr>
          <w:sz w:val="22"/>
          <w:szCs w:val="22"/>
        </w:rPr>
        <w:t xml:space="preserve">ensure that the costs outlined in the pay plan are consistent with what is obligated unless </w:t>
      </w:r>
      <w:r w:rsidR="00053DA3" w:rsidRPr="00FA5F5C">
        <w:rPr>
          <w:sz w:val="22"/>
          <w:szCs w:val="22"/>
        </w:rPr>
        <w:t>he/she</w:t>
      </w:r>
      <w:r w:rsidRPr="00FA5F5C">
        <w:rPr>
          <w:sz w:val="22"/>
          <w:szCs w:val="22"/>
        </w:rPr>
        <w:t xml:space="preserve"> identifies costs that are not in line with </w:t>
      </w:r>
      <w:r w:rsidR="004966F0" w:rsidRPr="00FA5F5C">
        <w:rPr>
          <w:sz w:val="22"/>
          <w:szCs w:val="22"/>
        </w:rPr>
        <w:t>this new policy,</w:t>
      </w:r>
      <w:r w:rsidR="00D23004" w:rsidRPr="00FA5F5C">
        <w:rPr>
          <w:sz w:val="22"/>
          <w:szCs w:val="22"/>
        </w:rPr>
        <w:t xml:space="preserve"> applicable </w:t>
      </w:r>
      <w:r w:rsidRPr="00FA5F5C">
        <w:rPr>
          <w:sz w:val="22"/>
          <w:szCs w:val="22"/>
        </w:rPr>
        <w:t>Cost Principles</w:t>
      </w:r>
      <w:r w:rsidR="004966F0" w:rsidRPr="00FA5F5C">
        <w:rPr>
          <w:sz w:val="22"/>
          <w:szCs w:val="22"/>
        </w:rPr>
        <w:t>,</w:t>
      </w:r>
      <w:r w:rsidRPr="00FA5F5C">
        <w:rPr>
          <w:sz w:val="22"/>
          <w:szCs w:val="22"/>
        </w:rPr>
        <w:t xml:space="preserve"> or the programmatic objective as outlined in the Funding Opportunity Announcement.</w:t>
      </w:r>
      <w:r w:rsidR="00053DA3" w:rsidRPr="00FA5F5C">
        <w:rPr>
          <w:sz w:val="22"/>
          <w:szCs w:val="22"/>
        </w:rPr>
        <w:t xml:space="preserve"> Also, grants officials must ensure that the pay list is signed by the IC Director and filed in the appropriate file.</w:t>
      </w:r>
    </w:p>
    <w:p w:rsidR="00916E96" w:rsidRDefault="00916E96" w:rsidP="007E3558">
      <w:pPr>
        <w:rPr>
          <w:sz w:val="22"/>
          <w:szCs w:val="22"/>
        </w:rPr>
      </w:pPr>
    </w:p>
    <w:p w:rsidR="00FA5F5C" w:rsidRPr="00FA5F5C" w:rsidRDefault="00FA5F5C" w:rsidP="007E3558">
      <w:pPr>
        <w:rPr>
          <w:sz w:val="22"/>
          <w:szCs w:val="22"/>
        </w:rPr>
      </w:pPr>
    </w:p>
    <w:p w:rsidR="007E3558" w:rsidRPr="00FA5F5C" w:rsidRDefault="00EC4609" w:rsidP="009A7CA7">
      <w:pPr>
        <w:pStyle w:val="Heading3"/>
        <w:jc w:val="left"/>
        <w:rPr>
          <w:b w:val="0"/>
          <w:sz w:val="22"/>
          <w:szCs w:val="22"/>
        </w:rPr>
      </w:pPr>
      <w:r w:rsidRPr="00FA5F5C">
        <w:rPr>
          <w:sz w:val="22"/>
          <w:szCs w:val="22"/>
        </w:rPr>
        <w:t>Reporting Requirements:</w:t>
      </w:r>
      <w:r w:rsidR="004A3FC9" w:rsidRPr="00FA5F5C">
        <w:rPr>
          <w:sz w:val="22"/>
          <w:szCs w:val="22"/>
        </w:rPr>
        <w:t xml:space="preserve">   </w:t>
      </w:r>
      <w:r w:rsidR="00A870B7" w:rsidRPr="00FA5F5C">
        <w:rPr>
          <w:b w:val="0"/>
          <w:sz w:val="22"/>
          <w:szCs w:val="22"/>
        </w:rPr>
        <w:t xml:space="preserve">OER will coordinate this effort for all NIH ICs.    </w:t>
      </w:r>
      <w:r w:rsidR="00046ABD" w:rsidRPr="00FA5F5C">
        <w:rPr>
          <w:b w:val="0"/>
          <w:sz w:val="22"/>
          <w:szCs w:val="22"/>
        </w:rPr>
        <w:t>In accordance with Departmental policies, a semi-annual report</w:t>
      </w:r>
      <w:r w:rsidR="0087763C" w:rsidRPr="00FA5F5C">
        <w:rPr>
          <w:b w:val="0"/>
          <w:sz w:val="22"/>
          <w:szCs w:val="22"/>
        </w:rPr>
        <w:t xml:space="preserve"> </w:t>
      </w:r>
      <w:r w:rsidR="00046ABD" w:rsidRPr="00FA5F5C">
        <w:rPr>
          <w:b w:val="0"/>
          <w:sz w:val="22"/>
          <w:szCs w:val="22"/>
        </w:rPr>
        <w:t xml:space="preserve">will be submitted to HHS/OGAPA via an excel spreadsheet by the Conference Grants Coordinator within OER. The Coordinator will pull the required data elements from IMPAC II and as necessary poll the ICs to seek additional information to include in the report. </w:t>
      </w:r>
    </w:p>
    <w:p w:rsidR="003477C6" w:rsidRPr="00FA5F5C" w:rsidRDefault="003477C6" w:rsidP="003B06EE">
      <w:pPr>
        <w:pStyle w:val="Heading3"/>
        <w:numPr>
          <w:ilvl w:val="0"/>
          <w:numId w:val="0"/>
        </w:numPr>
        <w:jc w:val="left"/>
        <w:rPr>
          <w:b w:val="0"/>
          <w:sz w:val="22"/>
          <w:szCs w:val="22"/>
        </w:rPr>
      </w:pPr>
    </w:p>
    <w:p w:rsidR="006E0D17" w:rsidRPr="00FA5F5C" w:rsidRDefault="00592033" w:rsidP="00966E41">
      <w:pPr>
        <w:ind w:left="1440"/>
        <w:rPr>
          <w:sz w:val="22"/>
          <w:szCs w:val="22"/>
          <w:u w:val="single"/>
        </w:rPr>
      </w:pPr>
      <w:r w:rsidRPr="00FA5F5C">
        <w:rPr>
          <w:sz w:val="22"/>
          <w:szCs w:val="22"/>
        </w:rPr>
        <w:t xml:space="preserve">Questions regarding this policy should be directed to Joe Ellis at </w:t>
      </w:r>
      <w:hyperlink r:id="rId24" w:history="1">
        <w:r w:rsidRPr="00FA5F5C">
          <w:rPr>
            <w:rStyle w:val="Hyperlink"/>
            <w:sz w:val="22"/>
            <w:szCs w:val="22"/>
          </w:rPr>
          <w:t>Joe.Ellis@nih.gov</w:t>
        </w:r>
      </w:hyperlink>
      <w:r w:rsidRPr="00FA5F5C">
        <w:rPr>
          <w:sz w:val="22"/>
          <w:szCs w:val="22"/>
        </w:rPr>
        <w:t xml:space="preserve"> and Michelle G. Bulls</w:t>
      </w:r>
      <w:r w:rsidR="00373692" w:rsidRPr="00FA5F5C">
        <w:rPr>
          <w:sz w:val="22"/>
          <w:szCs w:val="22"/>
        </w:rPr>
        <w:t xml:space="preserve"> at </w:t>
      </w:r>
      <w:hyperlink r:id="rId25" w:history="1">
        <w:r w:rsidR="00373692" w:rsidRPr="00FA5F5C">
          <w:rPr>
            <w:rStyle w:val="Hyperlink"/>
            <w:sz w:val="22"/>
            <w:szCs w:val="22"/>
          </w:rPr>
          <w:t>bullsmg@mail.nih.gov</w:t>
        </w:r>
      </w:hyperlink>
      <w:r w:rsidR="00373692" w:rsidRPr="00FA5F5C">
        <w:rPr>
          <w:sz w:val="22"/>
          <w:szCs w:val="22"/>
          <w:u w:val="single"/>
        </w:rPr>
        <w:t>.</w:t>
      </w:r>
      <w:r w:rsidRPr="00FA5F5C">
        <w:rPr>
          <w:sz w:val="22"/>
          <w:szCs w:val="22"/>
          <w:u w:val="single"/>
        </w:rPr>
        <w:t xml:space="preserve"> </w:t>
      </w:r>
    </w:p>
    <w:p w:rsidR="0013157D" w:rsidRDefault="0013157D" w:rsidP="00966E41">
      <w:pPr>
        <w:ind w:left="1440"/>
        <w:rPr>
          <w:sz w:val="22"/>
          <w:szCs w:val="22"/>
        </w:rPr>
      </w:pPr>
    </w:p>
    <w:p w:rsidR="00FA5F5C" w:rsidRDefault="00FA5F5C" w:rsidP="00966E41">
      <w:pPr>
        <w:ind w:left="1440"/>
        <w:rPr>
          <w:sz w:val="22"/>
          <w:szCs w:val="22"/>
        </w:rPr>
      </w:pPr>
    </w:p>
    <w:p w:rsidR="00FA5F5C" w:rsidRDefault="00FA5F5C" w:rsidP="00966E41">
      <w:pPr>
        <w:ind w:left="1440"/>
        <w:rPr>
          <w:sz w:val="22"/>
          <w:szCs w:val="22"/>
        </w:rPr>
      </w:pPr>
    </w:p>
    <w:p w:rsidR="00FA5F5C" w:rsidRDefault="00FA5F5C" w:rsidP="00966E41">
      <w:pPr>
        <w:ind w:left="1440"/>
        <w:rPr>
          <w:sz w:val="22"/>
          <w:szCs w:val="22"/>
        </w:rPr>
      </w:pPr>
    </w:p>
    <w:p w:rsidR="00FA5F5C" w:rsidRDefault="00FA5F5C" w:rsidP="00966E41">
      <w:pPr>
        <w:ind w:left="1440"/>
        <w:rPr>
          <w:sz w:val="22"/>
          <w:szCs w:val="22"/>
        </w:rPr>
      </w:pPr>
    </w:p>
    <w:p w:rsidR="00FA5F5C" w:rsidRDefault="00FA5F5C" w:rsidP="00966E41">
      <w:pPr>
        <w:ind w:left="1440"/>
        <w:rPr>
          <w:sz w:val="22"/>
          <w:szCs w:val="22"/>
        </w:rPr>
      </w:pPr>
    </w:p>
    <w:p w:rsidR="006E0D17" w:rsidRPr="00FA5F5C" w:rsidRDefault="00046ABD">
      <w:pPr>
        <w:pStyle w:val="Heading1"/>
        <w:rPr>
          <w:sz w:val="22"/>
          <w:szCs w:val="22"/>
        </w:rPr>
      </w:pPr>
      <w:r w:rsidRPr="00FA5F5C">
        <w:rPr>
          <w:sz w:val="22"/>
          <w:szCs w:val="22"/>
        </w:rPr>
        <w:t>Use of Appropriated Funds for Food</w:t>
      </w:r>
      <w:r w:rsidR="00916E96" w:rsidRPr="00FA5F5C">
        <w:rPr>
          <w:sz w:val="22"/>
          <w:szCs w:val="22"/>
        </w:rPr>
        <w:t xml:space="preserve">    </w:t>
      </w:r>
    </w:p>
    <w:p w:rsidR="005D78E0" w:rsidRPr="00FA5F5C" w:rsidRDefault="00EC4609" w:rsidP="005D78E0">
      <w:pPr>
        <w:ind w:left="720"/>
        <w:rPr>
          <w:sz w:val="22"/>
          <w:szCs w:val="22"/>
        </w:rPr>
      </w:pPr>
      <w:r w:rsidRPr="00FA5F5C">
        <w:rPr>
          <w:b/>
          <w:bCs/>
          <w:kern w:val="36"/>
          <w:sz w:val="22"/>
          <w:szCs w:val="22"/>
        </w:rPr>
        <w:t xml:space="preserve">(Reference </w:t>
      </w:r>
      <w:hyperlink r:id="rId26" w:history="1">
        <w:r w:rsidR="00373692" w:rsidRPr="00FA5F5C">
          <w:rPr>
            <w:rStyle w:val="Hyperlink"/>
            <w:sz w:val="22"/>
            <w:szCs w:val="22"/>
          </w:rPr>
          <w:t>http://www.hhs.gov/asfr/ogapa/acquisition/appfundspol_att2.html</w:t>
        </w:r>
      </w:hyperlink>
      <w:r w:rsidRPr="00FA5F5C">
        <w:rPr>
          <w:sz w:val="22"/>
          <w:szCs w:val="22"/>
        </w:rPr>
        <w:t xml:space="preserve"> )</w:t>
      </w:r>
    </w:p>
    <w:p w:rsidR="005D78E0" w:rsidRPr="00FA5F5C" w:rsidRDefault="004A3FC9" w:rsidP="007D4DC1">
      <w:pPr>
        <w:pStyle w:val="Heading2"/>
        <w:rPr>
          <w:rFonts w:ascii="Times New Roman" w:hAnsi="Times New Roman" w:cs="Times New Roman"/>
          <w:color w:val="auto"/>
          <w:sz w:val="22"/>
          <w:szCs w:val="22"/>
        </w:rPr>
      </w:pPr>
      <w:r w:rsidRPr="00FA5F5C">
        <w:rPr>
          <w:rFonts w:ascii="Times New Roman" w:hAnsi="Times New Roman" w:cs="Times New Roman"/>
          <w:color w:val="auto"/>
          <w:sz w:val="22"/>
          <w:szCs w:val="22"/>
        </w:rPr>
        <w:t>General Policy</w:t>
      </w:r>
    </w:p>
    <w:p w:rsidR="00966E41" w:rsidRPr="00FA5F5C" w:rsidRDefault="00966E41" w:rsidP="00966E41">
      <w:pPr>
        <w:rPr>
          <w:sz w:val="22"/>
          <w:szCs w:val="22"/>
        </w:rPr>
      </w:pPr>
    </w:p>
    <w:p w:rsidR="004A3FC9" w:rsidRPr="00FA5F5C" w:rsidRDefault="00046ABD" w:rsidP="007D4DC1">
      <w:pPr>
        <w:ind w:left="720"/>
        <w:rPr>
          <w:sz w:val="22"/>
          <w:szCs w:val="22"/>
        </w:rPr>
      </w:pPr>
      <w:r w:rsidRPr="00FA5F5C">
        <w:rPr>
          <w:sz w:val="22"/>
          <w:szCs w:val="22"/>
        </w:rPr>
        <w:t xml:space="preserve">It is the Department’s policy that OPDIVs and STAFFDIVs, including NIH shall not use appropriated funds (whether from an annual appropriation, multi-year appropriation, appropriated user fee, mandatory appropriation, gift funds, or reimbursements from such appropriations, etc.) to purchase food (whether for conferences or meetings; for meals, light refreshments, or beverages; or for Federal or non-Federal participants) unless we can document (a) that the provision of food is a necessary expense </w:t>
      </w:r>
      <w:r w:rsidR="00D61F89" w:rsidRPr="00FA5F5C">
        <w:rPr>
          <w:rStyle w:val="FootnoteReference"/>
          <w:sz w:val="22"/>
          <w:szCs w:val="22"/>
        </w:rPr>
        <w:footnoteReference w:id="1"/>
      </w:r>
      <w:r w:rsidRPr="00FA5F5C">
        <w:rPr>
          <w:sz w:val="22"/>
          <w:szCs w:val="22"/>
        </w:rPr>
        <w:t xml:space="preserve">  and  b)</w:t>
      </w:r>
      <w:r w:rsidR="00AD706A" w:rsidRPr="00FA5F5C">
        <w:rPr>
          <w:sz w:val="22"/>
          <w:szCs w:val="22"/>
        </w:rPr>
        <w:t xml:space="preserve"> </w:t>
      </w:r>
      <w:r w:rsidRPr="00FA5F5C">
        <w:rPr>
          <w:sz w:val="22"/>
          <w:szCs w:val="22"/>
        </w:rPr>
        <w:t>one of the four established exceptions listed below applies. </w:t>
      </w:r>
    </w:p>
    <w:p w:rsidR="007D4DC1" w:rsidRPr="00FA5F5C" w:rsidRDefault="007D4DC1" w:rsidP="007D4DC1">
      <w:pPr>
        <w:ind w:left="720"/>
        <w:rPr>
          <w:sz w:val="22"/>
          <w:szCs w:val="22"/>
        </w:rPr>
      </w:pPr>
    </w:p>
    <w:p w:rsidR="00AA001E" w:rsidRPr="00FA5F5C" w:rsidRDefault="00046ABD" w:rsidP="007D4DC1">
      <w:pPr>
        <w:ind w:left="720"/>
        <w:rPr>
          <w:sz w:val="22"/>
          <w:szCs w:val="22"/>
        </w:rPr>
      </w:pPr>
      <w:r w:rsidRPr="00FA5F5C">
        <w:rPr>
          <w:sz w:val="22"/>
          <w:szCs w:val="22"/>
        </w:rPr>
        <w:t xml:space="preserve">This new policy </w:t>
      </w:r>
      <w:r w:rsidRPr="00FA5F5C">
        <w:rPr>
          <w:b/>
          <w:sz w:val="22"/>
          <w:szCs w:val="22"/>
        </w:rPr>
        <w:t>does not apply</w:t>
      </w:r>
      <w:r w:rsidRPr="00FA5F5C">
        <w:rPr>
          <w:sz w:val="22"/>
          <w:szCs w:val="22"/>
        </w:rPr>
        <w:t xml:space="preserve"> to the purchase of food for</w:t>
      </w:r>
      <w:r w:rsidR="00987AC1" w:rsidRPr="00FA5F5C">
        <w:rPr>
          <w:sz w:val="22"/>
          <w:szCs w:val="22"/>
        </w:rPr>
        <w:t xml:space="preserve"> </w:t>
      </w:r>
      <w:r w:rsidRPr="00FA5F5C">
        <w:rPr>
          <w:sz w:val="22"/>
          <w:szCs w:val="22"/>
        </w:rPr>
        <w:t>patients</w:t>
      </w:r>
      <w:r w:rsidR="00987AC1" w:rsidRPr="00FA5F5C">
        <w:rPr>
          <w:sz w:val="22"/>
          <w:szCs w:val="22"/>
        </w:rPr>
        <w:t>,</w:t>
      </w:r>
      <w:r w:rsidRPr="00FA5F5C">
        <w:rPr>
          <w:sz w:val="22"/>
          <w:szCs w:val="22"/>
        </w:rPr>
        <w:t xml:space="preserve"> lab animals</w:t>
      </w:r>
      <w:r w:rsidR="00987AC1" w:rsidRPr="00FA5F5C">
        <w:rPr>
          <w:sz w:val="22"/>
          <w:szCs w:val="22"/>
        </w:rPr>
        <w:t>,</w:t>
      </w:r>
      <w:r w:rsidRPr="00FA5F5C">
        <w:rPr>
          <w:sz w:val="22"/>
          <w:szCs w:val="22"/>
        </w:rPr>
        <w:t xml:space="preserve"> animal and human test subjects</w:t>
      </w:r>
      <w:r w:rsidR="00987AC1" w:rsidRPr="00FA5F5C">
        <w:rPr>
          <w:sz w:val="22"/>
          <w:szCs w:val="22"/>
        </w:rPr>
        <w:t>,</w:t>
      </w:r>
      <w:r w:rsidRPr="00FA5F5C">
        <w:rPr>
          <w:sz w:val="22"/>
          <w:szCs w:val="22"/>
        </w:rPr>
        <w:t xml:space="preserve"> or nutritional/toxicology counseling, studies or samples.</w:t>
      </w:r>
    </w:p>
    <w:p w:rsidR="007D4DC1" w:rsidRPr="00FA5F5C" w:rsidRDefault="007D4DC1" w:rsidP="007D4DC1">
      <w:pPr>
        <w:ind w:left="360"/>
        <w:rPr>
          <w:sz w:val="22"/>
          <w:szCs w:val="22"/>
        </w:rPr>
      </w:pPr>
    </w:p>
    <w:p w:rsidR="00AA001E" w:rsidRDefault="00987AC1" w:rsidP="007D4DC1">
      <w:pPr>
        <w:ind w:left="720"/>
        <w:rPr>
          <w:sz w:val="22"/>
          <w:szCs w:val="22"/>
        </w:rPr>
      </w:pPr>
      <w:r w:rsidRPr="00FA5F5C">
        <w:rPr>
          <w:sz w:val="22"/>
          <w:szCs w:val="22"/>
        </w:rPr>
        <w:t xml:space="preserve">The </w:t>
      </w:r>
      <w:r w:rsidR="00046ABD" w:rsidRPr="00FA5F5C">
        <w:rPr>
          <w:sz w:val="22"/>
          <w:szCs w:val="22"/>
        </w:rPr>
        <w:t xml:space="preserve">exceptions have been further clarified in the current policy </w:t>
      </w:r>
      <w:r w:rsidRPr="00FA5F5C">
        <w:rPr>
          <w:sz w:val="22"/>
          <w:szCs w:val="22"/>
        </w:rPr>
        <w:t xml:space="preserve">in that </w:t>
      </w:r>
      <w:r w:rsidR="00046ABD" w:rsidRPr="00FA5F5C">
        <w:rPr>
          <w:sz w:val="22"/>
          <w:szCs w:val="22"/>
        </w:rPr>
        <w:t xml:space="preserve">the former waiver process – which previously allowed for the purchase food using appropriated funds if the conditions expressed in the former policy were met and if approved by the OPDIV or STAFFDIV Head – </w:t>
      </w:r>
      <w:r w:rsidR="00046ABD" w:rsidRPr="00FA5F5C">
        <w:rPr>
          <w:sz w:val="22"/>
          <w:szCs w:val="22"/>
          <w:u w:val="single"/>
        </w:rPr>
        <w:t>has been rescinded</w:t>
      </w:r>
      <w:r w:rsidRPr="00FA5F5C">
        <w:rPr>
          <w:sz w:val="22"/>
          <w:szCs w:val="22"/>
        </w:rPr>
        <w:t>.</w:t>
      </w:r>
    </w:p>
    <w:p w:rsidR="00987AC1" w:rsidRPr="00FA5F5C" w:rsidRDefault="00987AC1" w:rsidP="007D4DC1">
      <w:pPr>
        <w:pStyle w:val="Heading2"/>
        <w:rPr>
          <w:rFonts w:ascii="Times New Roman" w:hAnsi="Times New Roman" w:cs="Times New Roman"/>
          <w:color w:val="auto"/>
          <w:sz w:val="22"/>
          <w:szCs w:val="22"/>
        </w:rPr>
      </w:pPr>
      <w:r w:rsidRPr="00FA5F5C">
        <w:rPr>
          <w:rFonts w:ascii="Times New Roman" w:hAnsi="Times New Roman" w:cs="Times New Roman"/>
          <w:color w:val="auto"/>
          <w:sz w:val="22"/>
          <w:szCs w:val="22"/>
        </w:rPr>
        <w:t>Exceptions</w:t>
      </w:r>
    </w:p>
    <w:p w:rsidR="00987AC1" w:rsidRPr="00FA5F5C" w:rsidRDefault="00987AC1" w:rsidP="00987AC1">
      <w:pPr>
        <w:ind w:left="360"/>
        <w:rPr>
          <w:b/>
          <w:sz w:val="22"/>
          <w:szCs w:val="22"/>
        </w:rPr>
      </w:pPr>
    </w:p>
    <w:p w:rsidR="00AA001E" w:rsidRPr="00FA5F5C" w:rsidRDefault="00987AC1" w:rsidP="007D4DC1">
      <w:pPr>
        <w:ind w:left="720"/>
        <w:rPr>
          <w:sz w:val="22"/>
          <w:szCs w:val="22"/>
        </w:rPr>
      </w:pPr>
      <w:r w:rsidRPr="00FA5F5C">
        <w:rPr>
          <w:sz w:val="22"/>
          <w:szCs w:val="22"/>
        </w:rPr>
        <w:t>Please note that the list of established exceptions remains unchanged</w:t>
      </w:r>
      <w:r w:rsidR="00561FC1" w:rsidRPr="00FA5F5C">
        <w:rPr>
          <w:sz w:val="22"/>
          <w:szCs w:val="22"/>
        </w:rPr>
        <w:t xml:space="preserve">. </w:t>
      </w:r>
      <w:r w:rsidRPr="00FA5F5C">
        <w:rPr>
          <w:sz w:val="22"/>
          <w:szCs w:val="22"/>
        </w:rPr>
        <w:t xml:space="preserve"> </w:t>
      </w:r>
      <w:r w:rsidR="00046ABD" w:rsidRPr="00FA5F5C">
        <w:rPr>
          <w:sz w:val="22"/>
          <w:szCs w:val="22"/>
        </w:rPr>
        <w:t>The four exceptions to the general policy are as follows:</w:t>
      </w:r>
    </w:p>
    <w:p w:rsidR="00724FF4" w:rsidRPr="00FA5F5C" w:rsidRDefault="00724FF4" w:rsidP="007D4DC1">
      <w:pPr>
        <w:ind w:left="720"/>
        <w:rPr>
          <w:sz w:val="22"/>
          <w:szCs w:val="22"/>
        </w:rPr>
      </w:pPr>
    </w:p>
    <w:p w:rsidR="00777316" w:rsidRPr="00FA5F5C" w:rsidRDefault="00046ABD" w:rsidP="007D4DC1">
      <w:pPr>
        <w:pStyle w:val="Heading3"/>
        <w:jc w:val="left"/>
        <w:rPr>
          <w:b w:val="0"/>
          <w:sz w:val="22"/>
          <w:szCs w:val="22"/>
        </w:rPr>
      </w:pPr>
      <w:r w:rsidRPr="00FA5F5C">
        <w:rPr>
          <w:sz w:val="22"/>
          <w:szCs w:val="22"/>
        </w:rPr>
        <w:t xml:space="preserve">Training Events:  </w:t>
      </w:r>
      <w:r w:rsidRPr="00FA5F5C">
        <w:rPr>
          <w:b w:val="0"/>
          <w:sz w:val="22"/>
          <w:szCs w:val="22"/>
        </w:rPr>
        <w:t xml:space="preserve">OPDIVs and STAFFDIVs are authorized to pay for government employees' attendance at a non-HHS government or non-government conference (that constitutes an authorized employee training program) that includes food, if the registration fee includes the cost of food and the cost of food cannot be separated from the registration fee.  However, OPDIVs and STAFFDIVs </w:t>
      </w:r>
      <w:r w:rsidRPr="00FA5F5C">
        <w:rPr>
          <w:b w:val="0"/>
          <w:sz w:val="22"/>
          <w:szCs w:val="22"/>
          <w:u w:val="single"/>
        </w:rPr>
        <w:t>shall not</w:t>
      </w:r>
      <w:r w:rsidRPr="00FA5F5C">
        <w:rPr>
          <w:b w:val="0"/>
          <w:sz w:val="22"/>
          <w:szCs w:val="22"/>
        </w:rPr>
        <w:t xml:space="preserve"> </w:t>
      </w:r>
      <w:r w:rsidR="004B6FBD" w:rsidRPr="00FA5F5C">
        <w:rPr>
          <w:b w:val="0"/>
          <w:sz w:val="22"/>
          <w:szCs w:val="22"/>
        </w:rPr>
        <w:t xml:space="preserve">use appropriated funds for the </w:t>
      </w:r>
      <w:r w:rsidRPr="00FA5F5C">
        <w:rPr>
          <w:b w:val="0"/>
          <w:sz w:val="22"/>
          <w:szCs w:val="22"/>
        </w:rPr>
        <w:t xml:space="preserve">purchase </w:t>
      </w:r>
      <w:r w:rsidR="00987AC1" w:rsidRPr="00FA5F5C">
        <w:rPr>
          <w:b w:val="0"/>
          <w:sz w:val="22"/>
          <w:szCs w:val="22"/>
        </w:rPr>
        <w:t xml:space="preserve">of </w:t>
      </w:r>
      <w:r w:rsidRPr="00FA5F5C">
        <w:rPr>
          <w:b w:val="0"/>
          <w:sz w:val="22"/>
          <w:szCs w:val="22"/>
        </w:rPr>
        <w:t>food and refreshments for HHS funded training events, such as conferences, workshops, symposia, and meeting</w:t>
      </w:r>
      <w:r w:rsidR="0004065E" w:rsidRPr="00FA5F5C">
        <w:rPr>
          <w:b w:val="0"/>
          <w:sz w:val="22"/>
          <w:szCs w:val="22"/>
        </w:rPr>
        <w:t>s</w:t>
      </w:r>
      <w:r w:rsidRPr="00FA5F5C">
        <w:rPr>
          <w:b w:val="0"/>
          <w:sz w:val="22"/>
          <w:szCs w:val="22"/>
        </w:rPr>
        <w:t>, authorized under the Government Employee Training Act.</w:t>
      </w:r>
    </w:p>
    <w:p w:rsidR="0013157D" w:rsidRDefault="0013157D" w:rsidP="007D4DC1">
      <w:pPr>
        <w:rPr>
          <w:sz w:val="22"/>
          <w:szCs w:val="22"/>
          <w:lang w:eastAsia="en-PH"/>
        </w:rPr>
      </w:pPr>
    </w:p>
    <w:p w:rsidR="00382BD9" w:rsidRPr="00FA5F5C" w:rsidRDefault="00382BD9" w:rsidP="007D4DC1">
      <w:pPr>
        <w:rPr>
          <w:sz w:val="22"/>
          <w:szCs w:val="22"/>
          <w:lang w:eastAsia="en-PH"/>
        </w:rPr>
      </w:pPr>
    </w:p>
    <w:p w:rsidR="00777316" w:rsidRDefault="00046ABD" w:rsidP="007D4DC1">
      <w:pPr>
        <w:pStyle w:val="Heading3"/>
        <w:jc w:val="left"/>
        <w:rPr>
          <w:b w:val="0"/>
          <w:sz w:val="22"/>
          <w:szCs w:val="22"/>
        </w:rPr>
      </w:pPr>
      <w:r w:rsidRPr="00FA5F5C">
        <w:rPr>
          <w:sz w:val="22"/>
          <w:szCs w:val="22"/>
        </w:rPr>
        <w:t>Award Ceremonies</w:t>
      </w:r>
      <w:r w:rsidRPr="00FA5F5C">
        <w:rPr>
          <w:b w:val="0"/>
          <w:sz w:val="22"/>
          <w:szCs w:val="22"/>
        </w:rPr>
        <w:t>:  The Government Employees’ Incentive Awards Act authorizes the use of appropriated funds to provide light refreshments, such as snacks and </w:t>
      </w:r>
      <w:r w:rsidR="00FE604A" w:rsidRPr="00FA5F5C">
        <w:rPr>
          <w:b w:val="0"/>
          <w:sz w:val="22"/>
          <w:szCs w:val="22"/>
        </w:rPr>
        <w:t xml:space="preserve">beverages, at federal employees’ awards ceremonies when it has been determined that such food would materially enhance the awards ceremony in furtherance of the objectives of the awards.  However, awards ceremonies must emphasize public recognition of the employees’ performance and allow other employees to honor and congratulate their colleagues.  Therefore, the ceremonies cannot be limited to the employees receiving the awards. </w:t>
      </w:r>
    </w:p>
    <w:p w:rsidR="00FA5F5C" w:rsidRPr="00FA5F5C" w:rsidRDefault="00FA5F5C" w:rsidP="00FA5F5C">
      <w:pPr>
        <w:rPr>
          <w:lang w:eastAsia="en-PH"/>
        </w:rPr>
      </w:pPr>
    </w:p>
    <w:p w:rsidR="00777316" w:rsidRPr="00FA5F5C" w:rsidRDefault="00046ABD" w:rsidP="007D4DC1">
      <w:pPr>
        <w:pStyle w:val="Heading3"/>
        <w:jc w:val="left"/>
        <w:rPr>
          <w:b w:val="0"/>
          <w:sz w:val="22"/>
          <w:szCs w:val="22"/>
        </w:rPr>
      </w:pPr>
      <w:r w:rsidRPr="00FA5F5C">
        <w:rPr>
          <w:sz w:val="22"/>
          <w:szCs w:val="22"/>
        </w:rPr>
        <w:t xml:space="preserve">Representation Fund:  </w:t>
      </w:r>
      <w:r w:rsidRPr="00FA5F5C">
        <w:rPr>
          <w:b w:val="0"/>
          <w:sz w:val="22"/>
          <w:szCs w:val="22"/>
        </w:rPr>
        <w:t>HHS and OPDIV Representation Funds are budget allocations that are specifically authorized by appropriation to facilitate official reception and representation activities that further the interests of the Department.  The funds may be used to purchase food for official reception and representation activities.  Note –this is a very narrow exception, and has very limited applicability at NIH.</w:t>
      </w:r>
    </w:p>
    <w:p w:rsidR="007D4DC1" w:rsidRPr="00FA5F5C" w:rsidRDefault="007D4DC1" w:rsidP="007D4DC1">
      <w:pPr>
        <w:rPr>
          <w:sz w:val="22"/>
          <w:szCs w:val="22"/>
          <w:lang w:eastAsia="en-PH"/>
        </w:rPr>
      </w:pPr>
    </w:p>
    <w:p w:rsidR="00777316" w:rsidRPr="00FA5F5C" w:rsidRDefault="00046ABD" w:rsidP="007D4DC1">
      <w:pPr>
        <w:pStyle w:val="Heading3"/>
        <w:jc w:val="left"/>
        <w:rPr>
          <w:b w:val="0"/>
          <w:sz w:val="22"/>
          <w:szCs w:val="22"/>
        </w:rPr>
      </w:pPr>
      <w:r w:rsidRPr="00FA5F5C">
        <w:rPr>
          <w:sz w:val="22"/>
          <w:szCs w:val="22"/>
        </w:rPr>
        <w:t xml:space="preserve">Emergencies:  </w:t>
      </w:r>
      <w:r w:rsidRPr="00FA5F5C">
        <w:rPr>
          <w:b w:val="0"/>
          <w:sz w:val="22"/>
          <w:szCs w:val="22"/>
        </w:rPr>
        <w:t>There is a limited exception for extreme emergencies involving imminent danger to human life or the destruction of federal property.  This exception, however, is available only in rare situations and is heavily dependent on the facts presented in a particular situation.</w:t>
      </w:r>
    </w:p>
    <w:p w:rsidR="00987AC1" w:rsidRPr="00FA5F5C" w:rsidRDefault="00987AC1" w:rsidP="007D4DC1">
      <w:pPr>
        <w:pStyle w:val="Heading1"/>
        <w:numPr>
          <w:ilvl w:val="0"/>
          <w:numId w:val="0"/>
        </w:numPr>
        <w:ind w:left="1440"/>
        <w:rPr>
          <w:b w:val="0"/>
          <w:sz w:val="22"/>
          <w:szCs w:val="22"/>
        </w:rPr>
      </w:pPr>
      <w:r w:rsidRPr="00FA5F5C">
        <w:rPr>
          <w:b w:val="0"/>
          <w:sz w:val="22"/>
          <w:szCs w:val="22"/>
        </w:rPr>
        <w:t xml:space="preserve">There is </w:t>
      </w:r>
      <w:r w:rsidRPr="00FA5F5C">
        <w:rPr>
          <w:sz w:val="22"/>
          <w:szCs w:val="22"/>
          <w:u w:val="single"/>
        </w:rPr>
        <w:t>no exception</w:t>
      </w:r>
      <w:r w:rsidRPr="00FA5F5C">
        <w:rPr>
          <w:b w:val="0"/>
          <w:sz w:val="22"/>
          <w:szCs w:val="22"/>
        </w:rPr>
        <w:t xml:space="preserve"> for providing beverages at meetings and conferences.</w:t>
      </w:r>
    </w:p>
    <w:p w:rsidR="00987AC1" w:rsidRDefault="00987AC1" w:rsidP="007D4DC1">
      <w:pPr>
        <w:pStyle w:val="ListParagraph"/>
        <w:ind w:left="1440"/>
        <w:contextualSpacing w:val="0"/>
        <w:rPr>
          <w:sz w:val="22"/>
          <w:szCs w:val="22"/>
        </w:rPr>
      </w:pPr>
      <w:r w:rsidRPr="00FA5F5C">
        <w:rPr>
          <w:sz w:val="22"/>
          <w:szCs w:val="22"/>
        </w:rPr>
        <w:t>The food prohibition, absent approval under one of the exceptions, applies regardless of whether the event is a conference or meeting or regardless of whether the event is held in federal or non-federal facilities.</w:t>
      </w:r>
    </w:p>
    <w:p w:rsidR="00382BD9" w:rsidRPr="00FA5F5C" w:rsidRDefault="00382BD9" w:rsidP="007D4DC1">
      <w:pPr>
        <w:pStyle w:val="ListParagraph"/>
        <w:ind w:left="1440"/>
        <w:contextualSpacing w:val="0"/>
        <w:rPr>
          <w:sz w:val="22"/>
          <w:szCs w:val="22"/>
        </w:rPr>
      </w:pPr>
    </w:p>
    <w:p w:rsidR="00987AC1" w:rsidRPr="00FA5F5C" w:rsidRDefault="00987AC1" w:rsidP="007D4DC1">
      <w:pPr>
        <w:pStyle w:val="Heading2"/>
        <w:rPr>
          <w:rFonts w:ascii="Times New Roman" w:hAnsi="Times New Roman" w:cs="Times New Roman"/>
          <w:color w:val="auto"/>
          <w:sz w:val="22"/>
          <w:szCs w:val="22"/>
        </w:rPr>
      </w:pPr>
      <w:proofErr w:type="gramStart"/>
      <w:r w:rsidRPr="00FA5F5C">
        <w:rPr>
          <w:rFonts w:ascii="Times New Roman" w:hAnsi="Times New Roman" w:cs="Times New Roman"/>
          <w:color w:val="auto"/>
          <w:sz w:val="22"/>
          <w:szCs w:val="22"/>
        </w:rPr>
        <w:t>Gift Funds.</w:t>
      </w:r>
      <w:proofErr w:type="gramEnd"/>
    </w:p>
    <w:p w:rsidR="007D4DC1" w:rsidRPr="00FA5F5C" w:rsidRDefault="007D4DC1" w:rsidP="007D4DC1">
      <w:pPr>
        <w:rPr>
          <w:sz w:val="22"/>
          <w:szCs w:val="22"/>
        </w:rPr>
      </w:pPr>
    </w:p>
    <w:p w:rsidR="00EE57AC" w:rsidRPr="00FA5F5C" w:rsidRDefault="00B6669A" w:rsidP="007D4DC1">
      <w:pPr>
        <w:pStyle w:val="Header"/>
        <w:ind w:left="1440"/>
        <w:rPr>
          <w:bCs/>
          <w:sz w:val="22"/>
          <w:szCs w:val="22"/>
        </w:rPr>
      </w:pPr>
      <w:r w:rsidRPr="00FA5F5C">
        <w:rPr>
          <w:sz w:val="22"/>
          <w:szCs w:val="22"/>
        </w:rPr>
        <w:t xml:space="preserve">As noted above, </w:t>
      </w:r>
      <w:r w:rsidR="00EE57AC" w:rsidRPr="00FA5F5C">
        <w:rPr>
          <w:sz w:val="22"/>
          <w:szCs w:val="22"/>
        </w:rPr>
        <w:t xml:space="preserve">NIH has been granted statutory authority to accept, retain, and use gift funds.   NIH may use gift funds to purchase food if the approving official determines </w:t>
      </w:r>
      <w:r w:rsidR="00EE57AC" w:rsidRPr="00FA5F5C">
        <w:rPr>
          <w:bCs/>
          <w:sz w:val="22"/>
          <w:szCs w:val="22"/>
        </w:rPr>
        <w:t xml:space="preserve">that the purchase of food:  (a) carries out the NIH mission (b) satisfies the conditions of the gift; (c) is consistent with NIH’s policy on gifts; and (d) is a necessary expense.  The approving official role/responsibility has been delegated to the IC Executive Officer and </w:t>
      </w:r>
      <w:r w:rsidR="00517CFE" w:rsidRPr="00FA5F5C">
        <w:rPr>
          <w:bCs/>
          <w:sz w:val="22"/>
          <w:szCs w:val="22"/>
        </w:rPr>
        <w:t>cannot</w:t>
      </w:r>
      <w:r w:rsidR="00EE57AC" w:rsidRPr="00FA5F5C">
        <w:rPr>
          <w:bCs/>
          <w:sz w:val="22"/>
          <w:szCs w:val="22"/>
        </w:rPr>
        <w:t xml:space="preserve"> be further re-delegated.</w:t>
      </w:r>
    </w:p>
    <w:p w:rsidR="00EA23EB" w:rsidRPr="00FA5F5C" w:rsidRDefault="00EA23EB" w:rsidP="00EA23EB">
      <w:pPr>
        <w:pStyle w:val="Header"/>
        <w:ind w:left="360"/>
        <w:rPr>
          <w:sz w:val="22"/>
          <w:szCs w:val="22"/>
        </w:rPr>
      </w:pPr>
    </w:p>
    <w:p w:rsidR="006E0D17" w:rsidRDefault="00EA23EB" w:rsidP="007D4DC1">
      <w:pPr>
        <w:pStyle w:val="Header"/>
        <w:ind w:left="1440"/>
        <w:rPr>
          <w:sz w:val="22"/>
          <w:szCs w:val="22"/>
        </w:rPr>
      </w:pPr>
      <w:r w:rsidRPr="00FA5F5C">
        <w:rPr>
          <w:sz w:val="22"/>
          <w:szCs w:val="22"/>
        </w:rPr>
        <w:t>W</w:t>
      </w:r>
      <w:r w:rsidR="00C744B1" w:rsidRPr="00FA5F5C">
        <w:rPr>
          <w:sz w:val="22"/>
          <w:szCs w:val="22"/>
        </w:rPr>
        <w:t>hen determining whether to use gift funds for food</w:t>
      </w:r>
      <w:r w:rsidRPr="00FA5F5C">
        <w:rPr>
          <w:sz w:val="22"/>
          <w:szCs w:val="22"/>
        </w:rPr>
        <w:t xml:space="preserve"> </w:t>
      </w:r>
      <w:r w:rsidR="00573CA7" w:rsidRPr="00FA5F5C">
        <w:rPr>
          <w:sz w:val="22"/>
          <w:szCs w:val="22"/>
        </w:rPr>
        <w:t>and beverages</w:t>
      </w:r>
      <w:r w:rsidR="00C744B1" w:rsidRPr="00FA5F5C">
        <w:rPr>
          <w:sz w:val="22"/>
          <w:szCs w:val="22"/>
        </w:rPr>
        <w:t xml:space="preserve">, sponsoring ICs should carefully consider the donor’s expectation on how the gift funds would be utilized.  Most donors do not expect that their donations </w:t>
      </w:r>
      <w:r w:rsidR="00987AC1" w:rsidRPr="00FA5F5C">
        <w:rPr>
          <w:sz w:val="22"/>
          <w:szCs w:val="22"/>
        </w:rPr>
        <w:t>are to be</w:t>
      </w:r>
      <w:r w:rsidR="00C744B1" w:rsidRPr="00FA5F5C">
        <w:rPr>
          <w:sz w:val="22"/>
          <w:szCs w:val="22"/>
        </w:rPr>
        <w:t xml:space="preserve"> used for refreshments for meetings, rather, to benefit research.   Before such funds are used, planners and approving officials need to take into account that sensitivity with full knowledge that use of these funds for food, exception notwithstanding, will likely be the subject of increased external scrutiny. </w:t>
      </w:r>
      <w:r w:rsidR="002F6459" w:rsidRPr="00FA5F5C">
        <w:rPr>
          <w:sz w:val="22"/>
          <w:szCs w:val="22"/>
        </w:rPr>
        <w:t xml:space="preserve"> The determination to use gift funds should be done on a case by case basis.  Questions regarding the don</w:t>
      </w:r>
      <w:r w:rsidR="00EE57AC" w:rsidRPr="00FA5F5C">
        <w:rPr>
          <w:sz w:val="22"/>
          <w:szCs w:val="22"/>
        </w:rPr>
        <w:t>o</w:t>
      </w:r>
      <w:r w:rsidR="002F6459" w:rsidRPr="00FA5F5C">
        <w:rPr>
          <w:sz w:val="22"/>
          <w:szCs w:val="22"/>
        </w:rPr>
        <w:t xml:space="preserve">r’s expectations should be directed to </w:t>
      </w:r>
      <w:r w:rsidR="00810E36" w:rsidRPr="00FA5F5C">
        <w:rPr>
          <w:sz w:val="22"/>
          <w:szCs w:val="22"/>
        </w:rPr>
        <w:t xml:space="preserve">HHS </w:t>
      </w:r>
      <w:r w:rsidR="002F6459" w:rsidRPr="00FA5F5C">
        <w:rPr>
          <w:sz w:val="22"/>
          <w:szCs w:val="22"/>
        </w:rPr>
        <w:t>P</w:t>
      </w:r>
      <w:r w:rsidR="00810E36" w:rsidRPr="00FA5F5C">
        <w:rPr>
          <w:sz w:val="22"/>
          <w:szCs w:val="22"/>
        </w:rPr>
        <w:t xml:space="preserve">ublic </w:t>
      </w:r>
      <w:r w:rsidR="002F6459" w:rsidRPr="00FA5F5C">
        <w:rPr>
          <w:sz w:val="22"/>
          <w:szCs w:val="22"/>
        </w:rPr>
        <w:t>H</w:t>
      </w:r>
      <w:r w:rsidR="00810E36" w:rsidRPr="00FA5F5C">
        <w:rPr>
          <w:sz w:val="22"/>
          <w:szCs w:val="22"/>
        </w:rPr>
        <w:t>ealth Division</w:t>
      </w:r>
      <w:r w:rsidR="002F6459" w:rsidRPr="00FA5F5C">
        <w:rPr>
          <w:sz w:val="22"/>
          <w:szCs w:val="22"/>
        </w:rPr>
        <w:t>/NIH O</w:t>
      </w:r>
      <w:r w:rsidR="00810E36" w:rsidRPr="00FA5F5C">
        <w:rPr>
          <w:sz w:val="22"/>
          <w:szCs w:val="22"/>
        </w:rPr>
        <w:t>ffice of General Counsel.</w:t>
      </w:r>
    </w:p>
    <w:p w:rsidR="00382BD9" w:rsidRPr="00FA5F5C" w:rsidRDefault="00382BD9" w:rsidP="007D4DC1">
      <w:pPr>
        <w:pStyle w:val="Header"/>
        <w:ind w:left="1440"/>
        <w:rPr>
          <w:sz w:val="22"/>
          <w:szCs w:val="22"/>
        </w:rPr>
      </w:pPr>
    </w:p>
    <w:p w:rsidR="006E0D17" w:rsidRPr="00FA5F5C" w:rsidRDefault="00592033" w:rsidP="007D4DC1">
      <w:pPr>
        <w:pStyle w:val="Heading2"/>
        <w:rPr>
          <w:rFonts w:ascii="Times New Roman" w:hAnsi="Times New Roman" w:cs="Times New Roman"/>
          <w:color w:val="auto"/>
          <w:sz w:val="22"/>
          <w:szCs w:val="22"/>
        </w:rPr>
      </w:pPr>
      <w:r w:rsidRPr="00FA5F5C">
        <w:rPr>
          <w:rFonts w:ascii="Times New Roman" w:hAnsi="Times New Roman" w:cs="Times New Roman"/>
          <w:color w:val="auto"/>
          <w:sz w:val="22"/>
          <w:szCs w:val="22"/>
        </w:rPr>
        <w:t>Registration Fees</w:t>
      </w:r>
    </w:p>
    <w:p w:rsidR="00C744B1" w:rsidRPr="00FA5F5C" w:rsidRDefault="00C744B1" w:rsidP="00C744B1">
      <w:pPr>
        <w:pStyle w:val="Header"/>
        <w:rPr>
          <w:sz w:val="22"/>
          <w:szCs w:val="22"/>
        </w:rPr>
      </w:pPr>
    </w:p>
    <w:p w:rsidR="006E0D17" w:rsidRDefault="00C744B1" w:rsidP="007D4DC1">
      <w:pPr>
        <w:pStyle w:val="Header"/>
        <w:ind w:left="1440"/>
        <w:rPr>
          <w:sz w:val="22"/>
          <w:szCs w:val="22"/>
        </w:rPr>
      </w:pPr>
      <w:r w:rsidRPr="00FA5F5C">
        <w:rPr>
          <w:sz w:val="22"/>
          <w:szCs w:val="22"/>
        </w:rPr>
        <w:t>NIH has been granted statutory authority to charge a fee for certain programs and activities. However, NIH may not operate beyond the level that can be paid for by its appropriations.  Nor can NIH circumvent appropriation limitations by augmenting its appropriations from sources outside the government.  Therefore, any registration fees collected for conferences must be directly related to that conference.</w:t>
      </w:r>
      <w:r w:rsidR="0080292A" w:rsidRPr="00FA5F5C">
        <w:rPr>
          <w:sz w:val="22"/>
          <w:szCs w:val="22"/>
        </w:rPr>
        <w:t xml:space="preserve">  Registration fees cannot be used to acquire food, light refreshments or beverages for NIH sponsored conferences/meetings.</w:t>
      </w:r>
    </w:p>
    <w:p w:rsidR="00382BD9" w:rsidRPr="00FA5F5C" w:rsidRDefault="00382BD9" w:rsidP="007D4DC1">
      <w:pPr>
        <w:pStyle w:val="Header"/>
        <w:ind w:left="1440"/>
        <w:rPr>
          <w:sz w:val="22"/>
          <w:szCs w:val="22"/>
        </w:rPr>
      </w:pPr>
    </w:p>
    <w:p w:rsidR="006E0D17" w:rsidRPr="00FA5F5C" w:rsidRDefault="00EC4609" w:rsidP="007D4DC1">
      <w:pPr>
        <w:pStyle w:val="Heading2"/>
        <w:rPr>
          <w:rFonts w:ascii="Times New Roman" w:hAnsi="Times New Roman" w:cs="Times New Roman"/>
          <w:color w:val="auto"/>
          <w:sz w:val="22"/>
          <w:szCs w:val="22"/>
        </w:rPr>
      </w:pPr>
      <w:r w:rsidRPr="00FA5F5C">
        <w:rPr>
          <w:rFonts w:ascii="Times New Roman" w:hAnsi="Times New Roman" w:cs="Times New Roman"/>
          <w:color w:val="auto"/>
          <w:sz w:val="22"/>
          <w:szCs w:val="22"/>
        </w:rPr>
        <w:t xml:space="preserve">Approvals </w:t>
      </w:r>
    </w:p>
    <w:p w:rsidR="00AA001E" w:rsidRPr="00FA5F5C" w:rsidRDefault="00D970A1" w:rsidP="007D4DC1">
      <w:pPr>
        <w:pStyle w:val="Heading1"/>
        <w:numPr>
          <w:ilvl w:val="0"/>
          <w:numId w:val="0"/>
        </w:numPr>
        <w:ind w:left="1440"/>
        <w:rPr>
          <w:b w:val="0"/>
          <w:sz w:val="22"/>
          <w:szCs w:val="22"/>
        </w:rPr>
      </w:pPr>
      <w:r w:rsidRPr="00FA5F5C">
        <w:rPr>
          <w:b w:val="0"/>
          <w:sz w:val="22"/>
          <w:szCs w:val="22"/>
        </w:rPr>
        <w:t>T</w:t>
      </w:r>
      <w:r w:rsidR="0030408F" w:rsidRPr="00FA5F5C">
        <w:rPr>
          <w:b w:val="0"/>
          <w:sz w:val="22"/>
          <w:szCs w:val="22"/>
        </w:rPr>
        <w:t xml:space="preserve">he IC Executive Officer must approve all use of either appropriated or gift funds for the purchase of light refreshments and meals under the exception.  If the food is part of a conference or meeting where the total cost of the </w:t>
      </w:r>
      <w:r w:rsidR="00916E96" w:rsidRPr="00FA5F5C">
        <w:rPr>
          <w:b w:val="0"/>
          <w:sz w:val="22"/>
          <w:szCs w:val="22"/>
        </w:rPr>
        <w:t>event is</w:t>
      </w:r>
      <w:r w:rsidR="0030408F" w:rsidRPr="00FA5F5C">
        <w:rPr>
          <w:b w:val="0"/>
          <w:sz w:val="22"/>
          <w:szCs w:val="22"/>
        </w:rPr>
        <w:t xml:space="preserve"> over $100K, then the IC Executive Officer must include the signed Entertainment Form as part of the overall conference package that must be sent to the DDM for approval.  At the $100K and over threshold, no obligation for any aspect of the conference, including food, can be incurred without the DDM</w:t>
      </w:r>
      <w:r w:rsidR="00C744B1" w:rsidRPr="00FA5F5C">
        <w:rPr>
          <w:b w:val="0"/>
          <w:sz w:val="22"/>
          <w:szCs w:val="22"/>
        </w:rPr>
        <w:t xml:space="preserve"> approval.  </w:t>
      </w:r>
      <w:r w:rsidR="0030408F" w:rsidRPr="00FA5F5C">
        <w:rPr>
          <w:b w:val="0"/>
          <w:sz w:val="22"/>
          <w:szCs w:val="22"/>
        </w:rPr>
        <w:t xml:space="preserve"> </w:t>
      </w:r>
    </w:p>
    <w:p w:rsidR="00A23693" w:rsidRPr="00FA5F5C" w:rsidRDefault="00A23693" w:rsidP="00A23693">
      <w:pPr>
        <w:pStyle w:val="Header"/>
        <w:rPr>
          <w:sz w:val="22"/>
          <w:szCs w:val="22"/>
        </w:rPr>
      </w:pPr>
    </w:p>
    <w:p w:rsidR="00A23693" w:rsidRPr="00FA5F5C" w:rsidRDefault="00046ABD" w:rsidP="007D4DC1">
      <w:pPr>
        <w:pStyle w:val="Header"/>
        <w:ind w:left="1440"/>
        <w:rPr>
          <w:sz w:val="22"/>
          <w:szCs w:val="22"/>
        </w:rPr>
      </w:pPr>
      <w:r w:rsidRPr="00FA5F5C">
        <w:rPr>
          <w:sz w:val="22"/>
          <w:szCs w:val="22"/>
        </w:rPr>
        <w:t>Questions regarding this policy should be directed to M</w:t>
      </w:r>
      <w:r w:rsidR="009F7748" w:rsidRPr="00FA5F5C">
        <w:rPr>
          <w:sz w:val="22"/>
          <w:szCs w:val="22"/>
        </w:rPr>
        <w:t>r</w:t>
      </w:r>
      <w:r w:rsidRPr="00FA5F5C">
        <w:rPr>
          <w:sz w:val="22"/>
          <w:szCs w:val="22"/>
        </w:rPr>
        <w:t xml:space="preserve">. Kenneth </w:t>
      </w:r>
      <w:r w:rsidR="00561FC1" w:rsidRPr="00FA5F5C">
        <w:rPr>
          <w:sz w:val="22"/>
          <w:szCs w:val="22"/>
        </w:rPr>
        <w:t xml:space="preserve">Stith </w:t>
      </w:r>
      <w:hyperlink r:id="rId27" w:history="1">
        <w:r w:rsidR="00106452" w:rsidRPr="00FA5F5C">
          <w:rPr>
            <w:rStyle w:val="Hyperlink"/>
            <w:sz w:val="22"/>
            <w:szCs w:val="22"/>
          </w:rPr>
          <w:t>Kenneth.stith@nih.gov</w:t>
        </w:r>
      </w:hyperlink>
    </w:p>
    <w:p w:rsidR="008F340D" w:rsidRDefault="008F340D" w:rsidP="00A23693">
      <w:pPr>
        <w:pStyle w:val="Header"/>
        <w:rPr>
          <w:sz w:val="22"/>
          <w:szCs w:val="22"/>
        </w:rPr>
      </w:pPr>
    </w:p>
    <w:p w:rsidR="00382BD9" w:rsidRDefault="00382BD9" w:rsidP="00A23693">
      <w:pPr>
        <w:pStyle w:val="Header"/>
        <w:rPr>
          <w:sz w:val="22"/>
          <w:szCs w:val="22"/>
        </w:rPr>
      </w:pPr>
    </w:p>
    <w:p w:rsidR="00382BD9" w:rsidRPr="00FA5F5C" w:rsidRDefault="00382BD9" w:rsidP="00A23693">
      <w:pPr>
        <w:pStyle w:val="Header"/>
        <w:rPr>
          <w:sz w:val="22"/>
          <w:szCs w:val="22"/>
        </w:rPr>
      </w:pPr>
    </w:p>
    <w:p w:rsidR="00987AC1" w:rsidRPr="00FA5F5C" w:rsidRDefault="00C5187C" w:rsidP="007D4DC1">
      <w:pPr>
        <w:pStyle w:val="Heading1"/>
        <w:rPr>
          <w:sz w:val="22"/>
          <w:szCs w:val="22"/>
        </w:rPr>
      </w:pPr>
      <w:r w:rsidRPr="00FA5F5C">
        <w:rPr>
          <w:sz w:val="22"/>
          <w:szCs w:val="22"/>
        </w:rPr>
        <w:t>Use of Appropriated Funds for Promotional Items</w:t>
      </w:r>
    </w:p>
    <w:p w:rsidR="006E0D17" w:rsidRPr="00FA5F5C" w:rsidRDefault="00046ABD">
      <w:pPr>
        <w:pStyle w:val="Heading1"/>
        <w:numPr>
          <w:ilvl w:val="0"/>
          <w:numId w:val="0"/>
        </w:numPr>
        <w:spacing w:before="0" w:after="0"/>
        <w:ind w:left="720"/>
        <w:rPr>
          <w:sz w:val="22"/>
          <w:szCs w:val="22"/>
        </w:rPr>
      </w:pPr>
      <w:r w:rsidRPr="00FA5F5C">
        <w:rPr>
          <w:b w:val="0"/>
          <w:bCs w:val="0"/>
          <w:sz w:val="22"/>
          <w:szCs w:val="22"/>
        </w:rPr>
        <w:t>(Reference</w:t>
      </w:r>
      <w:r w:rsidR="00C5187C" w:rsidRPr="00FA5F5C">
        <w:rPr>
          <w:b w:val="0"/>
          <w:bCs w:val="0"/>
          <w:sz w:val="22"/>
          <w:szCs w:val="22"/>
        </w:rPr>
        <w:t xml:space="preserve"> </w:t>
      </w:r>
      <w:hyperlink r:id="rId28" w:history="1">
        <w:r w:rsidR="00C5187C" w:rsidRPr="00FA5F5C">
          <w:rPr>
            <w:rStyle w:val="Hyperlink"/>
            <w:sz w:val="22"/>
            <w:szCs w:val="22"/>
          </w:rPr>
          <w:t>http://www.hhs.gov/asfr/ogapa/acquisition/promoitems_att3.html</w:t>
        </w:r>
      </w:hyperlink>
      <w:r w:rsidR="00987AC1" w:rsidRPr="00FA5F5C">
        <w:rPr>
          <w:sz w:val="22"/>
          <w:szCs w:val="22"/>
        </w:rPr>
        <w:t xml:space="preserve"> </w:t>
      </w:r>
      <w:r w:rsidR="00987AC1" w:rsidRPr="00FA5F5C">
        <w:rPr>
          <w:b w:val="0"/>
          <w:sz w:val="22"/>
          <w:szCs w:val="22"/>
        </w:rPr>
        <w:t>)</w:t>
      </w:r>
      <w:r w:rsidR="00592033" w:rsidRPr="00FA5F5C">
        <w:rPr>
          <w:sz w:val="22"/>
          <w:szCs w:val="22"/>
        </w:rPr>
        <w:br/>
      </w:r>
    </w:p>
    <w:p w:rsidR="006E0D17" w:rsidRPr="00FA5F5C" w:rsidRDefault="00046ABD" w:rsidP="007D4DC1">
      <w:pPr>
        <w:pStyle w:val="Heading1"/>
        <w:numPr>
          <w:ilvl w:val="0"/>
          <w:numId w:val="0"/>
        </w:numPr>
        <w:spacing w:before="0" w:after="0"/>
        <w:ind w:left="720"/>
        <w:rPr>
          <w:sz w:val="22"/>
          <w:szCs w:val="22"/>
        </w:rPr>
      </w:pPr>
      <w:r w:rsidRPr="00FA5F5C">
        <w:rPr>
          <w:sz w:val="22"/>
          <w:szCs w:val="22"/>
        </w:rPr>
        <w:t xml:space="preserve">NIH considers promotional items to be an extraneous expense.  Therefore, ICs shall not use appropriated funds to purchase promotional items.  This policy is effective January 3, 2012.  </w:t>
      </w:r>
    </w:p>
    <w:p w:rsidR="009F12D1" w:rsidRPr="00FA5F5C" w:rsidRDefault="00046ABD" w:rsidP="007D4DC1">
      <w:pPr>
        <w:spacing w:before="180"/>
        <w:ind w:left="720"/>
        <w:rPr>
          <w:sz w:val="22"/>
          <w:szCs w:val="22"/>
        </w:rPr>
      </w:pPr>
      <w:r w:rsidRPr="00FA5F5C">
        <w:rPr>
          <w:sz w:val="22"/>
          <w:szCs w:val="22"/>
        </w:rPr>
        <w:t xml:space="preserve">Promotional items include, but are not limited to: clothing and commemorative items such as pens, mugs/cups, folders/folios, lanyards, and conference bags that are sometimes provided to visitors, employees, grantees, or conference attendees. Typically, items or tokens to be given to individuals are considered personal gifts for which appropriated funds may not be expended.  </w:t>
      </w:r>
    </w:p>
    <w:p w:rsidR="00F16A7F" w:rsidRPr="00FA5F5C" w:rsidRDefault="00046ABD" w:rsidP="007D4DC1">
      <w:pPr>
        <w:spacing w:before="180"/>
        <w:ind w:left="720"/>
        <w:rPr>
          <w:sz w:val="22"/>
          <w:szCs w:val="22"/>
        </w:rPr>
      </w:pPr>
      <w:r w:rsidRPr="00FA5F5C">
        <w:rPr>
          <w:sz w:val="22"/>
          <w:szCs w:val="22"/>
        </w:rPr>
        <w:t xml:space="preserve">ICs may use those promotional items that have been purchased prior to January 3, 2012, in order to dispose of excess stock.  However, when doing so, IC Executive Officers should carefully consider whether </w:t>
      </w:r>
      <w:r w:rsidR="00115795" w:rsidRPr="00FA5F5C">
        <w:rPr>
          <w:sz w:val="22"/>
          <w:szCs w:val="22"/>
        </w:rPr>
        <w:t xml:space="preserve">using </w:t>
      </w:r>
      <w:r w:rsidRPr="00FA5F5C">
        <w:rPr>
          <w:sz w:val="22"/>
          <w:szCs w:val="22"/>
        </w:rPr>
        <w:t xml:space="preserve">the promotional items </w:t>
      </w:r>
      <w:r w:rsidR="00517CFE" w:rsidRPr="00FA5F5C">
        <w:rPr>
          <w:sz w:val="22"/>
          <w:szCs w:val="22"/>
        </w:rPr>
        <w:t>will directly</w:t>
      </w:r>
      <w:r w:rsidRPr="00FA5F5C">
        <w:rPr>
          <w:sz w:val="22"/>
          <w:szCs w:val="22"/>
        </w:rPr>
        <w:t xml:space="preserve"> further </w:t>
      </w:r>
      <w:r w:rsidR="00115795" w:rsidRPr="00FA5F5C">
        <w:rPr>
          <w:sz w:val="22"/>
          <w:szCs w:val="22"/>
        </w:rPr>
        <w:t>the IC’s</w:t>
      </w:r>
      <w:r w:rsidRPr="00FA5F5C">
        <w:rPr>
          <w:sz w:val="22"/>
          <w:szCs w:val="22"/>
        </w:rPr>
        <w:t xml:space="preserve"> mission.</w:t>
      </w:r>
    </w:p>
    <w:p w:rsidR="009F12D1" w:rsidRPr="00FA5F5C" w:rsidRDefault="009F12D1" w:rsidP="007D4DC1">
      <w:pPr>
        <w:pStyle w:val="Header"/>
        <w:ind w:left="720"/>
        <w:rPr>
          <w:sz w:val="22"/>
          <w:szCs w:val="22"/>
        </w:rPr>
      </w:pPr>
    </w:p>
    <w:p w:rsidR="009F12D1" w:rsidRPr="00FA5F5C" w:rsidRDefault="00046ABD" w:rsidP="007D4DC1">
      <w:pPr>
        <w:pStyle w:val="Header"/>
        <w:ind w:left="720"/>
        <w:rPr>
          <w:sz w:val="22"/>
          <w:szCs w:val="22"/>
        </w:rPr>
      </w:pPr>
      <w:r w:rsidRPr="00FA5F5C">
        <w:rPr>
          <w:sz w:val="22"/>
          <w:szCs w:val="22"/>
        </w:rPr>
        <w:t xml:space="preserve">Only in rare cases — that is, when the IC can demonstrate that the promotional items are necessary expenses </w:t>
      </w:r>
      <w:r w:rsidR="008F340D" w:rsidRPr="00FA5F5C">
        <w:rPr>
          <w:sz w:val="22"/>
          <w:szCs w:val="22"/>
        </w:rPr>
        <w:t>(</w:t>
      </w:r>
      <w:r w:rsidR="00C5187C" w:rsidRPr="00FA5F5C">
        <w:rPr>
          <w:sz w:val="22"/>
          <w:szCs w:val="22"/>
        </w:rPr>
        <w:t xml:space="preserve">see </w:t>
      </w:r>
      <w:r w:rsidR="00810E36" w:rsidRPr="00FA5F5C">
        <w:rPr>
          <w:sz w:val="22"/>
          <w:szCs w:val="22"/>
        </w:rPr>
        <w:t xml:space="preserve">“Necessary Expense Rule,” </w:t>
      </w:r>
      <w:r w:rsidR="00265BE2" w:rsidRPr="00FA5F5C">
        <w:rPr>
          <w:sz w:val="22"/>
          <w:szCs w:val="22"/>
        </w:rPr>
        <w:t xml:space="preserve">footnote </w:t>
      </w:r>
      <w:r w:rsidR="00810E36" w:rsidRPr="00FA5F5C">
        <w:rPr>
          <w:sz w:val="22"/>
          <w:szCs w:val="22"/>
        </w:rPr>
        <w:t>1</w:t>
      </w:r>
      <w:r w:rsidR="00C5187C" w:rsidRPr="00FA5F5C">
        <w:rPr>
          <w:sz w:val="22"/>
          <w:szCs w:val="22"/>
        </w:rPr>
        <w:t xml:space="preserve">) </w:t>
      </w:r>
      <w:r w:rsidRPr="00FA5F5C">
        <w:rPr>
          <w:sz w:val="22"/>
          <w:szCs w:val="22"/>
        </w:rPr>
        <w:t xml:space="preserve">that directly further its mission — may such items be purchased.  Any such necessary expense justification must be in writing, explain why the purchase is a necessary expense that is critical to the mission, and why the costs are considered reasonable.  The justification must be approved, in writing, by the Deputy Director for Management (DDM), without further redelegation, and be included in the associated administrative file, such as the purchase card request or contract file.  </w:t>
      </w:r>
    </w:p>
    <w:p w:rsidR="001543D3" w:rsidRPr="00FA5F5C" w:rsidRDefault="001543D3" w:rsidP="007D4DC1">
      <w:pPr>
        <w:pStyle w:val="Header"/>
        <w:tabs>
          <w:tab w:val="clear" w:pos="4320"/>
          <w:tab w:val="clear" w:pos="8640"/>
        </w:tabs>
        <w:ind w:left="720"/>
        <w:rPr>
          <w:sz w:val="22"/>
          <w:szCs w:val="22"/>
        </w:rPr>
      </w:pPr>
    </w:p>
    <w:p w:rsidR="001543D3" w:rsidRPr="00FA5F5C" w:rsidRDefault="00046ABD" w:rsidP="007D4DC1">
      <w:pPr>
        <w:pStyle w:val="Header"/>
        <w:tabs>
          <w:tab w:val="clear" w:pos="4320"/>
          <w:tab w:val="clear" w:pos="8640"/>
        </w:tabs>
        <w:ind w:left="720"/>
        <w:rPr>
          <w:sz w:val="22"/>
          <w:szCs w:val="22"/>
        </w:rPr>
      </w:pPr>
      <w:r w:rsidRPr="00FA5F5C">
        <w:rPr>
          <w:sz w:val="22"/>
          <w:szCs w:val="22"/>
        </w:rPr>
        <w:t xml:space="preserve">In the rare instance when an IC wishes to purchase promotional items, the IC’s EO shall submit the justification to the Office of Acquisition Management </w:t>
      </w:r>
      <w:r w:rsidR="004B6FBD" w:rsidRPr="00FA5F5C">
        <w:rPr>
          <w:sz w:val="22"/>
          <w:szCs w:val="22"/>
        </w:rPr>
        <w:t xml:space="preserve">and </w:t>
      </w:r>
      <w:r w:rsidRPr="00FA5F5C">
        <w:rPr>
          <w:sz w:val="22"/>
          <w:szCs w:val="22"/>
        </w:rPr>
        <w:t xml:space="preserve">Policy (OAMP) at </w:t>
      </w:r>
      <w:hyperlink r:id="rId29" w:history="1">
        <w:r w:rsidRPr="00FA5F5C">
          <w:rPr>
            <w:rStyle w:val="Hyperlink"/>
            <w:sz w:val="22"/>
            <w:szCs w:val="22"/>
          </w:rPr>
          <w:t>SimplifiedAcquisitionHelp@od.nih.gov</w:t>
        </w:r>
      </w:hyperlink>
      <w:r w:rsidRPr="00FA5F5C">
        <w:rPr>
          <w:sz w:val="22"/>
          <w:szCs w:val="22"/>
        </w:rPr>
        <w:t>.  No purchases should be made prior to receipt of written approval from the DDM.</w:t>
      </w:r>
    </w:p>
    <w:p w:rsidR="005940E2" w:rsidRPr="00FA5F5C" w:rsidRDefault="005940E2" w:rsidP="007D4DC1">
      <w:pPr>
        <w:pStyle w:val="Header"/>
        <w:tabs>
          <w:tab w:val="clear" w:pos="4320"/>
          <w:tab w:val="clear" w:pos="8640"/>
        </w:tabs>
        <w:ind w:left="720"/>
        <w:rPr>
          <w:sz w:val="22"/>
          <w:szCs w:val="22"/>
        </w:rPr>
      </w:pPr>
    </w:p>
    <w:p w:rsidR="00581610" w:rsidRPr="00FA5F5C" w:rsidRDefault="00046ABD" w:rsidP="007D4DC1">
      <w:pPr>
        <w:pStyle w:val="Header"/>
        <w:ind w:left="720"/>
        <w:rPr>
          <w:sz w:val="22"/>
          <w:szCs w:val="22"/>
        </w:rPr>
      </w:pPr>
      <w:r w:rsidRPr="00FA5F5C">
        <w:rPr>
          <w:sz w:val="22"/>
          <w:szCs w:val="22"/>
        </w:rPr>
        <w:t xml:space="preserve">Questions regarding this policy should be directed to Ms. Theresa Garnes at </w:t>
      </w:r>
      <w:hyperlink r:id="rId30" w:history="1">
        <w:r w:rsidRPr="00FA5F5C">
          <w:rPr>
            <w:rStyle w:val="Hyperlink"/>
            <w:sz w:val="22"/>
            <w:szCs w:val="22"/>
          </w:rPr>
          <w:t>Theresa.Garnes@nih.gov</w:t>
        </w:r>
      </w:hyperlink>
      <w:r w:rsidRPr="00FA5F5C">
        <w:rPr>
          <w:sz w:val="22"/>
          <w:szCs w:val="22"/>
        </w:rPr>
        <w:t>.</w:t>
      </w:r>
    </w:p>
    <w:p w:rsidR="0013157D" w:rsidRPr="00FA5F5C" w:rsidRDefault="0013157D" w:rsidP="00581610">
      <w:pPr>
        <w:pStyle w:val="Header"/>
        <w:rPr>
          <w:sz w:val="22"/>
          <w:szCs w:val="22"/>
        </w:rPr>
      </w:pPr>
    </w:p>
    <w:p w:rsidR="007600B3" w:rsidRPr="00FA5F5C" w:rsidRDefault="00A870B7" w:rsidP="007D4DC1">
      <w:pPr>
        <w:pStyle w:val="Heading1"/>
        <w:rPr>
          <w:sz w:val="22"/>
          <w:szCs w:val="22"/>
        </w:rPr>
      </w:pPr>
      <w:r w:rsidRPr="00FA5F5C">
        <w:rPr>
          <w:sz w:val="22"/>
          <w:szCs w:val="22"/>
        </w:rPr>
        <w:t>Use of Appropriated Funds for Printing and Publications</w:t>
      </w:r>
    </w:p>
    <w:p w:rsidR="00A23693" w:rsidRPr="00FA5F5C" w:rsidRDefault="00A870B7" w:rsidP="007D4DC1">
      <w:pPr>
        <w:ind w:left="720"/>
        <w:rPr>
          <w:sz w:val="22"/>
          <w:szCs w:val="22"/>
        </w:rPr>
      </w:pPr>
      <w:r w:rsidRPr="00FA5F5C">
        <w:rPr>
          <w:sz w:val="22"/>
          <w:szCs w:val="22"/>
        </w:rPr>
        <w:t xml:space="preserve">(Reference </w:t>
      </w:r>
      <w:hyperlink r:id="rId31" w:history="1">
        <w:r w:rsidRPr="00FA5F5C">
          <w:rPr>
            <w:rStyle w:val="Hyperlink"/>
            <w:sz w:val="22"/>
            <w:szCs w:val="22"/>
          </w:rPr>
          <w:t>http://www.hhs.gov/asfr/ogapa/acquisition/printpubpol_att4.html</w:t>
        </w:r>
      </w:hyperlink>
      <w:r w:rsidRPr="00FA5F5C">
        <w:rPr>
          <w:sz w:val="22"/>
          <w:szCs w:val="22"/>
        </w:rPr>
        <w:t>)</w:t>
      </w:r>
    </w:p>
    <w:p w:rsidR="008602B6" w:rsidRPr="00FA5F5C" w:rsidRDefault="008602B6" w:rsidP="007D4DC1">
      <w:pPr>
        <w:ind w:left="720"/>
        <w:rPr>
          <w:spacing w:val="-8"/>
          <w:w w:val="105"/>
          <w:sz w:val="22"/>
          <w:szCs w:val="22"/>
        </w:rPr>
      </w:pPr>
    </w:p>
    <w:p w:rsidR="00B81095" w:rsidRPr="00FA5F5C" w:rsidRDefault="00A870B7" w:rsidP="007D4DC1">
      <w:pPr>
        <w:ind w:left="720"/>
        <w:rPr>
          <w:sz w:val="22"/>
          <w:szCs w:val="22"/>
        </w:rPr>
      </w:pPr>
      <w:r w:rsidRPr="00FA5F5C">
        <w:rPr>
          <w:sz w:val="22"/>
          <w:szCs w:val="22"/>
        </w:rPr>
        <w:t>Regarding the general printing, copying, and scanning of routine documents, NIH personnel are expected to use sustainable practices to meet their needs, such as:</w:t>
      </w:r>
    </w:p>
    <w:p w:rsidR="00B81095" w:rsidRPr="00FA5F5C" w:rsidRDefault="00A870B7" w:rsidP="007D4DC1">
      <w:pPr>
        <w:pStyle w:val="ListParagraph"/>
        <w:numPr>
          <w:ilvl w:val="0"/>
          <w:numId w:val="4"/>
        </w:numPr>
        <w:ind w:left="1800"/>
        <w:rPr>
          <w:sz w:val="22"/>
          <w:szCs w:val="22"/>
        </w:rPr>
      </w:pPr>
      <w:r w:rsidRPr="00FA5F5C">
        <w:rPr>
          <w:sz w:val="22"/>
          <w:szCs w:val="22"/>
        </w:rPr>
        <w:t>double-sided printing;</w:t>
      </w:r>
    </w:p>
    <w:p w:rsidR="00B81095" w:rsidRPr="00FA5F5C" w:rsidRDefault="00A870B7" w:rsidP="007D4DC1">
      <w:pPr>
        <w:pStyle w:val="ListParagraph"/>
        <w:numPr>
          <w:ilvl w:val="0"/>
          <w:numId w:val="4"/>
        </w:numPr>
        <w:ind w:left="1800"/>
        <w:rPr>
          <w:sz w:val="22"/>
          <w:szCs w:val="22"/>
        </w:rPr>
      </w:pPr>
      <w:r w:rsidRPr="00FA5F5C">
        <w:rPr>
          <w:sz w:val="22"/>
          <w:szCs w:val="22"/>
        </w:rPr>
        <w:t>black and white printing vs. color;</w:t>
      </w:r>
    </w:p>
    <w:p w:rsidR="00B81095" w:rsidRPr="00FA5F5C" w:rsidRDefault="00A870B7" w:rsidP="007D4DC1">
      <w:pPr>
        <w:pStyle w:val="ListParagraph"/>
        <w:numPr>
          <w:ilvl w:val="0"/>
          <w:numId w:val="4"/>
        </w:numPr>
        <w:ind w:left="1800"/>
        <w:rPr>
          <w:sz w:val="22"/>
          <w:szCs w:val="22"/>
        </w:rPr>
      </w:pPr>
      <w:r w:rsidRPr="00FA5F5C">
        <w:rPr>
          <w:sz w:val="22"/>
          <w:szCs w:val="22"/>
        </w:rPr>
        <w:t>use of 'draft' quality rather than 'high' quality printing;</w:t>
      </w:r>
    </w:p>
    <w:p w:rsidR="00B81095" w:rsidRPr="00FA5F5C" w:rsidRDefault="00A870B7" w:rsidP="007D4DC1">
      <w:pPr>
        <w:pStyle w:val="ListParagraph"/>
        <w:numPr>
          <w:ilvl w:val="0"/>
          <w:numId w:val="4"/>
        </w:numPr>
        <w:ind w:left="1800"/>
        <w:rPr>
          <w:sz w:val="22"/>
          <w:szCs w:val="22"/>
        </w:rPr>
      </w:pPr>
      <w:r w:rsidRPr="00FA5F5C">
        <w:rPr>
          <w:sz w:val="22"/>
          <w:szCs w:val="22"/>
        </w:rPr>
        <w:t>use of sleep mode when printers and copies are not in use</w:t>
      </w:r>
    </w:p>
    <w:p w:rsidR="00B81095" w:rsidRPr="00FA5F5C" w:rsidRDefault="00A870B7" w:rsidP="007D4DC1">
      <w:pPr>
        <w:pStyle w:val="ListParagraph"/>
        <w:numPr>
          <w:ilvl w:val="0"/>
          <w:numId w:val="4"/>
        </w:numPr>
        <w:ind w:left="1800"/>
        <w:rPr>
          <w:sz w:val="22"/>
          <w:szCs w:val="22"/>
        </w:rPr>
      </w:pPr>
      <w:r w:rsidRPr="00FA5F5C">
        <w:rPr>
          <w:sz w:val="22"/>
          <w:szCs w:val="22"/>
        </w:rPr>
        <w:t>use of toner-efficient fonts;</w:t>
      </w:r>
    </w:p>
    <w:p w:rsidR="00B81095" w:rsidRPr="00FA5F5C" w:rsidRDefault="00A870B7" w:rsidP="007D4DC1">
      <w:pPr>
        <w:pStyle w:val="ListParagraph"/>
        <w:numPr>
          <w:ilvl w:val="0"/>
          <w:numId w:val="4"/>
        </w:numPr>
        <w:ind w:left="1800"/>
        <w:rPr>
          <w:sz w:val="22"/>
          <w:szCs w:val="22"/>
        </w:rPr>
      </w:pPr>
      <w:r w:rsidRPr="00FA5F5C">
        <w:rPr>
          <w:sz w:val="22"/>
          <w:szCs w:val="22"/>
        </w:rPr>
        <w:t>narrow margins on network printers; and</w:t>
      </w:r>
    </w:p>
    <w:p w:rsidR="00B81095" w:rsidRPr="00FA5F5C" w:rsidRDefault="00A870B7" w:rsidP="007D4DC1">
      <w:pPr>
        <w:pStyle w:val="ListParagraph"/>
        <w:numPr>
          <w:ilvl w:val="0"/>
          <w:numId w:val="4"/>
        </w:numPr>
        <w:ind w:left="1800"/>
        <w:rPr>
          <w:w w:val="105"/>
          <w:sz w:val="22"/>
          <w:szCs w:val="22"/>
        </w:rPr>
      </w:pPr>
      <w:proofErr w:type="gramStart"/>
      <w:r w:rsidRPr="00FA5F5C">
        <w:rPr>
          <w:sz w:val="22"/>
          <w:szCs w:val="22"/>
        </w:rPr>
        <w:t>limit</w:t>
      </w:r>
      <w:proofErr w:type="gramEnd"/>
      <w:r w:rsidRPr="00FA5F5C">
        <w:rPr>
          <w:sz w:val="22"/>
          <w:szCs w:val="22"/>
        </w:rPr>
        <w:t xml:space="preserve"> use of desktop printers and shift to network printers unless an exception is</w:t>
      </w:r>
      <w:r w:rsidRPr="00FA5F5C">
        <w:rPr>
          <w:spacing w:val="-10"/>
          <w:w w:val="105"/>
          <w:sz w:val="22"/>
          <w:szCs w:val="22"/>
        </w:rPr>
        <w:t xml:space="preserve"> g</w:t>
      </w:r>
      <w:r w:rsidRPr="00FA5F5C">
        <w:rPr>
          <w:w w:val="105"/>
          <w:sz w:val="22"/>
          <w:szCs w:val="22"/>
        </w:rPr>
        <w:t>ranted.</w:t>
      </w:r>
    </w:p>
    <w:p w:rsidR="00B81095" w:rsidRPr="00FA5F5C" w:rsidRDefault="00592033" w:rsidP="007D4DC1">
      <w:pPr>
        <w:spacing w:before="288"/>
        <w:ind w:left="720" w:right="144"/>
        <w:rPr>
          <w:spacing w:val="-4"/>
          <w:w w:val="105"/>
          <w:sz w:val="22"/>
          <w:szCs w:val="22"/>
        </w:rPr>
      </w:pPr>
      <w:r w:rsidRPr="00FA5F5C">
        <w:rPr>
          <w:spacing w:val="-1"/>
          <w:w w:val="105"/>
          <w:sz w:val="22"/>
          <w:szCs w:val="22"/>
        </w:rPr>
        <w:t xml:space="preserve">The acquisition vehicles developed for Print Management under OMB's Federal Strategic </w:t>
      </w:r>
      <w:r w:rsidRPr="00FA5F5C">
        <w:rPr>
          <w:spacing w:val="-7"/>
          <w:w w:val="105"/>
          <w:sz w:val="22"/>
          <w:szCs w:val="22"/>
        </w:rPr>
        <w:t xml:space="preserve">Sourcing Initiative (FSSI) </w:t>
      </w:r>
      <w:r w:rsidRPr="00FA5F5C">
        <w:rPr>
          <w:spacing w:val="-7"/>
          <w:w w:val="105"/>
          <w:sz w:val="22"/>
          <w:szCs w:val="22"/>
          <w:u w:val="single"/>
        </w:rPr>
        <w:t>(</w:t>
      </w:r>
      <w:hyperlink r:id="rId32" w:history="1">
        <w:r w:rsidRPr="00FA5F5C">
          <w:rPr>
            <w:color w:val="0000FF"/>
            <w:spacing w:val="-7"/>
            <w:w w:val="105"/>
            <w:sz w:val="22"/>
            <w:szCs w:val="22"/>
            <w:u w:val="single"/>
          </w:rPr>
          <w:t>http://www.gsa.gov/portal/content/111983)</w:t>
        </w:r>
      </w:hyperlink>
      <w:r w:rsidRPr="00FA5F5C">
        <w:rPr>
          <w:spacing w:val="-7"/>
          <w:w w:val="105"/>
          <w:sz w:val="22"/>
          <w:szCs w:val="22"/>
        </w:rPr>
        <w:t xml:space="preserve"> and the NIH Government Wide Acquisition Contract, Electronic Computer Store III (ECS III) should be utilized when </w:t>
      </w:r>
      <w:r w:rsidRPr="00FA5F5C">
        <w:rPr>
          <w:spacing w:val="-2"/>
          <w:w w:val="105"/>
          <w:sz w:val="22"/>
          <w:szCs w:val="22"/>
        </w:rPr>
        <w:t>acquiring printing and copy devices and services. If acquiring printers, copiers and multi</w:t>
      </w:r>
      <w:r w:rsidRPr="00FA5F5C">
        <w:rPr>
          <w:spacing w:val="-2"/>
          <w:w w:val="105"/>
          <w:sz w:val="22"/>
          <w:szCs w:val="22"/>
        </w:rPr>
        <w:softHyphen/>
      </w:r>
      <w:r w:rsidRPr="00FA5F5C">
        <w:rPr>
          <w:spacing w:val="-3"/>
          <w:w w:val="105"/>
          <w:sz w:val="22"/>
          <w:szCs w:val="22"/>
        </w:rPr>
        <w:t xml:space="preserve">functional devices without using the FSSI Print Management Blanket Purchase Agreements </w:t>
      </w:r>
      <w:r w:rsidRPr="00FA5F5C">
        <w:rPr>
          <w:spacing w:val="-5"/>
          <w:w w:val="105"/>
          <w:sz w:val="22"/>
          <w:szCs w:val="22"/>
        </w:rPr>
        <w:t xml:space="preserve">(BPAs) or the NIH ECS III, the approval document, signed by the IC Executive Officer, must detail why using another acquisition </w:t>
      </w:r>
      <w:r w:rsidRPr="00FA5F5C">
        <w:rPr>
          <w:spacing w:val="-4"/>
          <w:w w:val="105"/>
          <w:sz w:val="22"/>
          <w:szCs w:val="22"/>
        </w:rPr>
        <w:t xml:space="preserve">approach represents a lower total cost of ownership over FSSI BPAs or the NIH ECS III. </w:t>
      </w:r>
    </w:p>
    <w:p w:rsidR="00573CA7" w:rsidRPr="00FA5F5C" w:rsidRDefault="00573CA7" w:rsidP="007D4DC1">
      <w:pPr>
        <w:pStyle w:val="Header"/>
        <w:ind w:left="720"/>
        <w:rPr>
          <w:sz w:val="22"/>
          <w:szCs w:val="22"/>
        </w:rPr>
      </w:pPr>
    </w:p>
    <w:p w:rsidR="006669B3" w:rsidRPr="00FA5F5C" w:rsidRDefault="00046ABD" w:rsidP="007D4DC1">
      <w:pPr>
        <w:pStyle w:val="Header"/>
        <w:ind w:left="720"/>
        <w:rPr>
          <w:sz w:val="22"/>
          <w:szCs w:val="22"/>
        </w:rPr>
      </w:pPr>
      <w:r w:rsidRPr="00FA5F5C">
        <w:rPr>
          <w:sz w:val="22"/>
          <w:szCs w:val="22"/>
        </w:rPr>
        <w:t xml:space="preserve">Questions regarding this policy should be directed to Ms. Theresa Garnes at </w:t>
      </w:r>
      <w:hyperlink r:id="rId33" w:history="1">
        <w:r w:rsidRPr="00FA5F5C">
          <w:rPr>
            <w:rStyle w:val="Hyperlink"/>
            <w:sz w:val="22"/>
            <w:szCs w:val="22"/>
          </w:rPr>
          <w:t>Theresa.Garnes@nih.gov</w:t>
        </w:r>
      </w:hyperlink>
      <w:r w:rsidRPr="00FA5F5C">
        <w:rPr>
          <w:sz w:val="22"/>
          <w:szCs w:val="22"/>
        </w:rPr>
        <w:t>.</w:t>
      </w:r>
    </w:p>
    <w:p w:rsidR="00A35258" w:rsidRPr="00FA5F5C" w:rsidRDefault="00A35258">
      <w:pPr>
        <w:rPr>
          <w:sz w:val="22"/>
          <w:szCs w:val="22"/>
        </w:rPr>
        <w:sectPr w:rsidR="00A35258" w:rsidRPr="00FA5F5C" w:rsidSect="00724FF4">
          <w:footerReference w:type="default" r:id="rId34"/>
          <w:footerReference w:type="first" r:id="rId35"/>
          <w:pgSz w:w="12240" w:h="15840" w:code="1"/>
          <w:pgMar w:top="576" w:right="1008" w:bottom="576" w:left="1008" w:header="360" w:footer="720" w:gutter="0"/>
          <w:cols w:space="720"/>
          <w:docGrid w:linePitch="326"/>
        </w:sectPr>
      </w:pPr>
    </w:p>
    <w:p w:rsidR="008E5D50" w:rsidRDefault="008E5D50">
      <w:pPr>
        <w:rPr>
          <w:rFonts w:asciiTheme="minorHAnsi" w:hAnsiTheme="minorHAnsi" w:cs="Arial"/>
          <w:sz w:val="22"/>
          <w:szCs w:val="22"/>
        </w:rPr>
      </w:pPr>
    </w:p>
    <w:tbl>
      <w:tblPr>
        <w:tblW w:w="10980" w:type="dxa"/>
        <w:tblLayout w:type="fixed"/>
        <w:tblLook w:val="0000"/>
      </w:tblPr>
      <w:tblGrid>
        <w:gridCol w:w="2700"/>
        <w:gridCol w:w="8280"/>
      </w:tblGrid>
      <w:tr w:rsidR="008E5D50" w:rsidTr="008E5D50">
        <w:trPr>
          <w:trHeight w:val="368"/>
        </w:trPr>
        <w:tc>
          <w:tcPr>
            <w:tcW w:w="2700" w:type="dxa"/>
            <w:tcBorders>
              <w:top w:val="single" w:sz="4" w:space="0" w:color="000000"/>
              <w:left w:val="single" w:sz="4" w:space="0" w:color="000000"/>
              <w:bottom w:val="single" w:sz="4" w:space="0" w:color="000000"/>
            </w:tcBorders>
            <w:shd w:val="clear" w:color="auto" w:fill="808080"/>
            <w:vAlign w:val="center"/>
          </w:tcPr>
          <w:p w:rsidR="008E5D50" w:rsidRDefault="008E5D50" w:rsidP="0009552C">
            <w:pPr>
              <w:snapToGrid w:val="0"/>
              <w:rPr>
                <w:rFonts w:ascii="Tahoma" w:eastAsia="PMingLiU" w:hAnsi="Tahoma" w:cs="Tahoma"/>
                <w:b/>
                <w:bCs/>
                <w:color w:val="FFFFFF"/>
                <w:sz w:val="20"/>
                <w:lang w:eastAsia="ar-SA"/>
              </w:rPr>
            </w:pPr>
            <w:r w:rsidRPr="00CC7B96">
              <w:rPr>
                <w:rFonts w:ascii="Tahoma" w:eastAsia="PMingLiU" w:hAnsi="Tahoma" w:cs="Tahoma"/>
                <w:b/>
                <w:bCs/>
                <w:color w:val="FFFFFF"/>
                <w:sz w:val="20"/>
                <w:lang w:eastAsia="ar-SA"/>
              </w:rPr>
              <w:t>Conference Title/Topic</w:t>
            </w:r>
          </w:p>
        </w:tc>
        <w:tc>
          <w:tcPr>
            <w:tcW w:w="8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D50" w:rsidRPr="00A900E4" w:rsidRDefault="008E5D50" w:rsidP="0009552C">
            <w:pPr>
              <w:snapToGrid w:val="0"/>
              <w:rPr>
                <w:rFonts w:ascii="Tahoma" w:eastAsia="PMingLiU" w:hAnsi="Tahoma" w:cs="Tahoma"/>
                <w:sz w:val="20"/>
                <w:lang w:eastAsia="ar-SA"/>
              </w:rPr>
            </w:pPr>
          </w:p>
        </w:tc>
      </w:tr>
      <w:tr w:rsidR="008E5D50" w:rsidTr="008E5D50">
        <w:trPr>
          <w:trHeight w:val="342"/>
        </w:trPr>
        <w:tc>
          <w:tcPr>
            <w:tcW w:w="2700" w:type="dxa"/>
            <w:tcBorders>
              <w:left w:val="single" w:sz="4" w:space="0" w:color="000000"/>
              <w:bottom w:val="single" w:sz="4" w:space="0" w:color="000000"/>
            </w:tcBorders>
            <w:shd w:val="clear" w:color="auto" w:fill="808080"/>
            <w:vAlign w:val="center"/>
          </w:tcPr>
          <w:p w:rsidR="008E5D50" w:rsidRDefault="008E5D50" w:rsidP="0009552C">
            <w:pPr>
              <w:snapToGrid w:val="0"/>
              <w:rPr>
                <w:rFonts w:ascii="Tahoma" w:eastAsia="PMingLiU" w:hAnsi="Tahoma" w:cs="Tahoma"/>
                <w:b/>
                <w:bCs/>
                <w:color w:val="FFFFFF"/>
                <w:sz w:val="20"/>
                <w:lang w:eastAsia="ar-SA"/>
              </w:rPr>
            </w:pPr>
            <w:r>
              <w:rPr>
                <w:rFonts w:ascii="Tahoma" w:eastAsia="PMingLiU" w:hAnsi="Tahoma" w:cs="Tahoma"/>
                <w:b/>
                <w:bCs/>
                <w:color w:val="FFFFFF"/>
                <w:sz w:val="20"/>
                <w:lang w:eastAsia="ar-SA"/>
              </w:rPr>
              <w:t>Sponsoring Office(s)</w:t>
            </w:r>
          </w:p>
        </w:tc>
        <w:tc>
          <w:tcPr>
            <w:tcW w:w="8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D50" w:rsidRPr="00A900E4" w:rsidRDefault="008E5D50" w:rsidP="0009552C">
            <w:pPr>
              <w:snapToGrid w:val="0"/>
              <w:rPr>
                <w:rFonts w:ascii="Tahoma" w:eastAsia="PMingLiU" w:hAnsi="Tahoma" w:cs="Tahoma"/>
                <w:sz w:val="20"/>
                <w:lang w:eastAsia="ar-SA"/>
              </w:rPr>
            </w:pPr>
          </w:p>
        </w:tc>
      </w:tr>
      <w:tr w:rsidR="008E5D50" w:rsidTr="008E5D50">
        <w:trPr>
          <w:trHeight w:val="342"/>
        </w:trPr>
        <w:tc>
          <w:tcPr>
            <w:tcW w:w="2700" w:type="dxa"/>
            <w:tcBorders>
              <w:left w:val="single" w:sz="4" w:space="0" w:color="000000"/>
              <w:bottom w:val="single" w:sz="4" w:space="0" w:color="000000"/>
            </w:tcBorders>
            <w:shd w:val="clear" w:color="auto" w:fill="808080"/>
            <w:vAlign w:val="center"/>
          </w:tcPr>
          <w:p w:rsidR="008E5D50" w:rsidRDefault="008E5D50" w:rsidP="0009552C">
            <w:pPr>
              <w:snapToGrid w:val="0"/>
              <w:rPr>
                <w:rFonts w:ascii="Tahoma" w:eastAsia="PMingLiU" w:hAnsi="Tahoma" w:cs="Tahoma"/>
                <w:b/>
                <w:bCs/>
                <w:color w:val="FFFFFF"/>
                <w:sz w:val="20"/>
                <w:lang w:eastAsia="ar-SA"/>
              </w:rPr>
            </w:pPr>
            <w:r>
              <w:rPr>
                <w:rFonts w:ascii="Tahoma" w:eastAsia="PMingLiU" w:hAnsi="Tahoma" w:cs="Tahoma"/>
                <w:b/>
                <w:bCs/>
                <w:color w:val="FFFFFF"/>
                <w:sz w:val="20"/>
                <w:lang w:eastAsia="ar-SA"/>
              </w:rPr>
              <w:t>Dates Held/To Be Held</w:t>
            </w:r>
          </w:p>
        </w:tc>
        <w:tc>
          <w:tcPr>
            <w:tcW w:w="8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D50" w:rsidRPr="00A900E4" w:rsidRDefault="008E5D50" w:rsidP="0009552C">
            <w:pPr>
              <w:snapToGrid w:val="0"/>
              <w:spacing w:after="40"/>
              <w:rPr>
                <w:rFonts w:ascii="Tahoma" w:eastAsia="PMingLiU" w:hAnsi="Tahoma" w:cs="Tahoma"/>
                <w:sz w:val="20"/>
                <w:lang w:eastAsia="ar-SA"/>
              </w:rPr>
            </w:pPr>
          </w:p>
        </w:tc>
      </w:tr>
      <w:tr w:rsidR="008E5D50" w:rsidTr="008E5D50">
        <w:trPr>
          <w:trHeight w:val="368"/>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1F497D" w:themeFill="text2"/>
            <w:vAlign w:val="center"/>
          </w:tcPr>
          <w:p w:rsidR="008E5D50" w:rsidRDefault="008E5D50" w:rsidP="0009552C">
            <w:pPr>
              <w:snapToGrid w:val="0"/>
              <w:rPr>
                <w:rFonts w:ascii="Tahoma" w:eastAsia="PMingLiU" w:hAnsi="Tahoma" w:cs="Tahoma"/>
                <w:b/>
                <w:sz w:val="20"/>
                <w:lang w:eastAsia="ar-SA"/>
              </w:rPr>
            </w:pPr>
            <w:r>
              <w:rPr>
                <w:rFonts w:ascii="Tahoma" w:eastAsia="PMingLiU" w:hAnsi="Tahoma" w:cs="Tahoma"/>
                <w:b/>
                <w:bCs/>
                <w:color w:val="FFFFFF"/>
                <w:sz w:val="20"/>
                <w:lang w:eastAsia="ar-SA"/>
              </w:rPr>
              <w:t>Location:</w:t>
            </w:r>
          </w:p>
        </w:tc>
      </w:tr>
      <w:tr w:rsidR="008E5D50" w:rsidTr="008E5D50">
        <w:trPr>
          <w:trHeight w:val="368"/>
        </w:trPr>
        <w:tc>
          <w:tcPr>
            <w:tcW w:w="2700" w:type="dxa"/>
            <w:tcBorders>
              <w:top w:val="single" w:sz="4" w:space="0" w:color="000000"/>
              <w:left w:val="single" w:sz="4" w:space="0" w:color="000000"/>
              <w:bottom w:val="single" w:sz="4" w:space="0" w:color="000000"/>
            </w:tcBorders>
            <w:shd w:val="clear" w:color="auto" w:fill="808080"/>
            <w:vAlign w:val="center"/>
          </w:tcPr>
          <w:p w:rsidR="008E5D50" w:rsidRDefault="008E5D50" w:rsidP="0009552C">
            <w:pPr>
              <w:snapToGrid w:val="0"/>
              <w:rPr>
                <w:rFonts w:ascii="Tahoma" w:eastAsia="PMingLiU" w:hAnsi="Tahoma" w:cs="Tahoma"/>
                <w:b/>
                <w:bCs/>
                <w:color w:val="FFFFFF"/>
                <w:sz w:val="20"/>
                <w:lang w:eastAsia="ar-SA"/>
              </w:rPr>
            </w:pPr>
            <w:r>
              <w:rPr>
                <w:rFonts w:ascii="Tahoma" w:eastAsia="PMingLiU" w:hAnsi="Tahoma" w:cs="Tahoma"/>
                <w:b/>
                <w:bCs/>
                <w:color w:val="FFFFFF"/>
                <w:sz w:val="20"/>
                <w:lang w:eastAsia="ar-SA"/>
              </w:rPr>
              <w:t>City:</w:t>
            </w:r>
          </w:p>
        </w:tc>
        <w:tc>
          <w:tcPr>
            <w:tcW w:w="82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D50" w:rsidRPr="00A900E4" w:rsidRDefault="008E5D50" w:rsidP="0009552C">
            <w:pPr>
              <w:snapToGrid w:val="0"/>
              <w:rPr>
                <w:rFonts w:ascii="Tahoma" w:eastAsia="PMingLiU" w:hAnsi="Tahoma" w:cs="Tahoma"/>
                <w:sz w:val="20"/>
                <w:lang w:eastAsia="ar-SA"/>
              </w:rPr>
            </w:pPr>
          </w:p>
        </w:tc>
      </w:tr>
      <w:tr w:rsidR="008E5D50" w:rsidTr="008E5D50">
        <w:trPr>
          <w:trHeight w:val="342"/>
        </w:trPr>
        <w:tc>
          <w:tcPr>
            <w:tcW w:w="2700" w:type="dxa"/>
            <w:tcBorders>
              <w:left w:val="single" w:sz="4" w:space="0" w:color="000000"/>
              <w:bottom w:val="single" w:sz="4" w:space="0" w:color="000000"/>
            </w:tcBorders>
            <w:shd w:val="clear" w:color="auto" w:fill="808080"/>
            <w:vAlign w:val="center"/>
          </w:tcPr>
          <w:p w:rsidR="008E5D50" w:rsidRDefault="008E5D50" w:rsidP="0009552C">
            <w:pPr>
              <w:snapToGrid w:val="0"/>
              <w:rPr>
                <w:rFonts w:ascii="Tahoma" w:eastAsia="PMingLiU" w:hAnsi="Tahoma" w:cs="Tahoma"/>
                <w:b/>
                <w:bCs/>
                <w:color w:val="FFFFFF"/>
                <w:sz w:val="20"/>
                <w:lang w:eastAsia="ar-SA"/>
              </w:rPr>
            </w:pPr>
            <w:r>
              <w:rPr>
                <w:rFonts w:ascii="Tahoma" w:eastAsia="PMingLiU" w:hAnsi="Tahoma" w:cs="Tahoma"/>
                <w:b/>
                <w:bCs/>
                <w:color w:val="FFFFFF"/>
                <w:sz w:val="20"/>
                <w:lang w:eastAsia="ar-SA"/>
              </w:rPr>
              <w:t>State:</w:t>
            </w:r>
          </w:p>
        </w:tc>
        <w:tc>
          <w:tcPr>
            <w:tcW w:w="82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D50" w:rsidRPr="00A900E4" w:rsidRDefault="008E5D50" w:rsidP="0009552C">
            <w:pPr>
              <w:snapToGrid w:val="0"/>
              <w:rPr>
                <w:rFonts w:ascii="Tahoma" w:eastAsia="PMingLiU" w:hAnsi="Tahoma" w:cs="Tahoma"/>
                <w:sz w:val="20"/>
                <w:lang w:eastAsia="ar-SA"/>
              </w:rPr>
            </w:pPr>
          </w:p>
        </w:tc>
      </w:tr>
      <w:tr w:rsidR="008E5D50" w:rsidTr="008E5D50">
        <w:trPr>
          <w:trHeight w:val="342"/>
        </w:trPr>
        <w:tc>
          <w:tcPr>
            <w:tcW w:w="2700" w:type="dxa"/>
            <w:tcBorders>
              <w:left w:val="single" w:sz="4" w:space="0" w:color="000000"/>
              <w:bottom w:val="single" w:sz="4" w:space="0" w:color="000000"/>
            </w:tcBorders>
            <w:shd w:val="clear" w:color="auto" w:fill="808080"/>
            <w:vAlign w:val="center"/>
          </w:tcPr>
          <w:p w:rsidR="008E5D50" w:rsidRDefault="008E5D50" w:rsidP="0009552C">
            <w:pPr>
              <w:snapToGrid w:val="0"/>
              <w:rPr>
                <w:rFonts w:ascii="Tahoma" w:eastAsia="PMingLiU" w:hAnsi="Tahoma" w:cs="Tahoma"/>
                <w:b/>
                <w:bCs/>
                <w:color w:val="FFFFFF"/>
                <w:sz w:val="20"/>
                <w:lang w:eastAsia="ar-SA"/>
              </w:rPr>
            </w:pPr>
            <w:r>
              <w:rPr>
                <w:rFonts w:ascii="Tahoma" w:eastAsia="PMingLiU" w:hAnsi="Tahoma" w:cs="Tahoma"/>
                <w:b/>
                <w:bCs/>
                <w:color w:val="FFFFFF"/>
                <w:sz w:val="20"/>
                <w:lang w:eastAsia="ar-SA"/>
              </w:rPr>
              <w:t>Country:</w:t>
            </w:r>
          </w:p>
        </w:tc>
        <w:tc>
          <w:tcPr>
            <w:tcW w:w="82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D50" w:rsidRPr="00A900E4" w:rsidRDefault="008E5D50" w:rsidP="0009552C">
            <w:pPr>
              <w:snapToGrid w:val="0"/>
              <w:spacing w:after="40"/>
              <w:rPr>
                <w:rFonts w:ascii="Tahoma" w:eastAsia="PMingLiU" w:hAnsi="Tahoma" w:cs="Tahoma"/>
                <w:sz w:val="20"/>
                <w:lang w:eastAsia="ar-SA"/>
              </w:rPr>
            </w:pPr>
          </w:p>
        </w:tc>
      </w:tr>
      <w:tr w:rsidR="008E5D50" w:rsidTr="008E5D50">
        <w:trPr>
          <w:trHeight w:val="368"/>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1F497D" w:themeFill="text2"/>
            <w:vAlign w:val="center"/>
          </w:tcPr>
          <w:p w:rsidR="008E5D50" w:rsidRDefault="008E5D50" w:rsidP="0009552C">
            <w:pPr>
              <w:snapToGrid w:val="0"/>
              <w:rPr>
                <w:rFonts w:ascii="Tahoma" w:eastAsia="PMingLiU" w:hAnsi="Tahoma" w:cs="Tahoma"/>
                <w:b/>
                <w:sz w:val="20"/>
                <w:lang w:eastAsia="ar-SA"/>
              </w:rPr>
            </w:pPr>
            <w:r>
              <w:rPr>
                <w:rFonts w:ascii="Tahoma" w:eastAsia="PMingLiU" w:hAnsi="Tahoma" w:cs="Tahoma"/>
                <w:b/>
                <w:bCs/>
                <w:color w:val="FFFFFF"/>
                <w:sz w:val="20"/>
                <w:lang w:eastAsia="ar-SA"/>
              </w:rPr>
              <w:t>Audience:</w:t>
            </w:r>
          </w:p>
        </w:tc>
      </w:tr>
      <w:tr w:rsidR="008E5D50" w:rsidTr="008E5D50">
        <w:trPr>
          <w:trHeight w:val="368"/>
        </w:trPr>
        <w:tc>
          <w:tcPr>
            <w:tcW w:w="2700" w:type="dxa"/>
            <w:tcBorders>
              <w:top w:val="single" w:sz="4" w:space="0" w:color="000000"/>
              <w:left w:val="single" w:sz="4" w:space="0" w:color="000000"/>
              <w:bottom w:val="single" w:sz="4" w:space="0" w:color="000000"/>
            </w:tcBorders>
            <w:shd w:val="clear" w:color="auto" w:fill="808080"/>
            <w:vAlign w:val="center"/>
          </w:tcPr>
          <w:p w:rsidR="008E5D50" w:rsidRDefault="008E5D50" w:rsidP="0009552C">
            <w:pPr>
              <w:snapToGrid w:val="0"/>
              <w:rPr>
                <w:rFonts w:ascii="Tahoma" w:eastAsia="PMingLiU" w:hAnsi="Tahoma" w:cs="Tahoma"/>
                <w:b/>
                <w:bCs/>
                <w:color w:val="FFFFFF"/>
                <w:sz w:val="20"/>
                <w:lang w:eastAsia="ar-SA"/>
              </w:rPr>
            </w:pPr>
            <w:r>
              <w:rPr>
                <w:rFonts w:ascii="Tahoma" w:eastAsia="PMingLiU" w:hAnsi="Tahoma" w:cs="Tahoma"/>
                <w:b/>
                <w:bCs/>
                <w:color w:val="FFFFFF"/>
                <w:sz w:val="20"/>
                <w:lang w:eastAsia="ar-SA"/>
              </w:rPr>
              <w:t>Profession:</w:t>
            </w:r>
          </w:p>
        </w:tc>
        <w:tc>
          <w:tcPr>
            <w:tcW w:w="82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D50" w:rsidRPr="00A900E4" w:rsidRDefault="008E5D50" w:rsidP="0009552C">
            <w:pPr>
              <w:snapToGrid w:val="0"/>
              <w:rPr>
                <w:rFonts w:ascii="Tahoma" w:eastAsia="PMingLiU" w:hAnsi="Tahoma" w:cs="Tahoma"/>
                <w:sz w:val="20"/>
                <w:lang w:eastAsia="ar-SA"/>
              </w:rPr>
            </w:pPr>
          </w:p>
        </w:tc>
      </w:tr>
      <w:tr w:rsidR="008E5D50" w:rsidTr="008E5D50">
        <w:trPr>
          <w:trHeight w:val="342"/>
        </w:trPr>
        <w:tc>
          <w:tcPr>
            <w:tcW w:w="2700" w:type="dxa"/>
            <w:tcBorders>
              <w:left w:val="single" w:sz="4" w:space="0" w:color="000000"/>
              <w:bottom w:val="single" w:sz="4" w:space="0" w:color="000000"/>
            </w:tcBorders>
            <w:shd w:val="clear" w:color="auto" w:fill="808080"/>
            <w:vAlign w:val="center"/>
          </w:tcPr>
          <w:p w:rsidR="008E5D50" w:rsidRDefault="008E5D50" w:rsidP="0009552C">
            <w:pPr>
              <w:snapToGrid w:val="0"/>
              <w:rPr>
                <w:rFonts w:ascii="Tahoma" w:eastAsia="PMingLiU" w:hAnsi="Tahoma" w:cs="Tahoma"/>
                <w:b/>
                <w:bCs/>
                <w:color w:val="FFFFFF"/>
                <w:sz w:val="20"/>
                <w:lang w:eastAsia="ar-SA"/>
              </w:rPr>
            </w:pPr>
            <w:r>
              <w:rPr>
                <w:rFonts w:ascii="Tahoma" w:eastAsia="PMingLiU" w:hAnsi="Tahoma" w:cs="Tahoma"/>
                <w:b/>
                <w:bCs/>
                <w:color w:val="FFFFFF"/>
                <w:sz w:val="20"/>
                <w:lang w:eastAsia="ar-SA"/>
              </w:rPr>
              <w:t>Percentage of Federal vs. Percentage of Non-Federal</w:t>
            </w:r>
          </w:p>
        </w:tc>
        <w:tc>
          <w:tcPr>
            <w:tcW w:w="82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D50" w:rsidRPr="00A900E4" w:rsidRDefault="008E5D50" w:rsidP="0009552C">
            <w:pPr>
              <w:snapToGrid w:val="0"/>
              <w:rPr>
                <w:rFonts w:ascii="Tahoma" w:eastAsia="PMingLiU" w:hAnsi="Tahoma" w:cs="Tahoma"/>
                <w:sz w:val="20"/>
                <w:lang w:eastAsia="ar-SA"/>
              </w:rPr>
            </w:pPr>
          </w:p>
        </w:tc>
      </w:tr>
      <w:tr w:rsidR="008E5D50" w:rsidTr="008E5D50">
        <w:trPr>
          <w:trHeight w:val="1070"/>
        </w:trPr>
        <w:tc>
          <w:tcPr>
            <w:tcW w:w="2700" w:type="dxa"/>
            <w:tcBorders>
              <w:top w:val="single" w:sz="4" w:space="0" w:color="000000"/>
              <w:left w:val="single" w:sz="4" w:space="0" w:color="000000"/>
              <w:bottom w:val="single" w:sz="4" w:space="0" w:color="000000"/>
            </w:tcBorders>
            <w:shd w:val="clear" w:color="auto" w:fill="808080"/>
            <w:vAlign w:val="center"/>
          </w:tcPr>
          <w:p w:rsidR="008E5D50" w:rsidRDefault="008E5D50" w:rsidP="0009552C">
            <w:pPr>
              <w:snapToGrid w:val="0"/>
              <w:rPr>
                <w:rFonts w:ascii="Tahoma" w:eastAsia="PMingLiU" w:hAnsi="Tahoma" w:cs="Tahoma"/>
                <w:b/>
                <w:bCs/>
                <w:color w:val="FFFFFF"/>
                <w:sz w:val="20"/>
                <w:lang w:eastAsia="ar-SA"/>
              </w:rPr>
            </w:pPr>
            <w:r>
              <w:rPr>
                <w:rFonts w:ascii="Tahoma" w:eastAsia="PMingLiU" w:hAnsi="Tahoma" w:cs="Tahoma"/>
                <w:b/>
                <w:bCs/>
                <w:color w:val="FFFFFF"/>
                <w:sz w:val="20"/>
                <w:lang w:eastAsia="ar-SA"/>
              </w:rPr>
              <w:t>Purpose of Conference:</w:t>
            </w:r>
          </w:p>
        </w:tc>
        <w:tc>
          <w:tcPr>
            <w:tcW w:w="82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D50" w:rsidRPr="00A900E4" w:rsidRDefault="008E5D50" w:rsidP="0009552C">
            <w:pPr>
              <w:snapToGrid w:val="0"/>
              <w:rPr>
                <w:rFonts w:ascii="Tahoma" w:eastAsia="PMingLiU" w:hAnsi="Tahoma" w:cs="Tahoma"/>
                <w:sz w:val="20"/>
                <w:highlight w:val="black"/>
                <w:lang w:eastAsia="ar-SA"/>
              </w:rPr>
            </w:pPr>
          </w:p>
          <w:p w:rsidR="008E5D50" w:rsidRPr="00A900E4" w:rsidRDefault="008E5D50" w:rsidP="0009552C">
            <w:pPr>
              <w:snapToGrid w:val="0"/>
              <w:rPr>
                <w:rFonts w:ascii="Tahoma" w:eastAsia="PMingLiU" w:hAnsi="Tahoma" w:cs="Tahoma"/>
                <w:sz w:val="20"/>
                <w:highlight w:val="black"/>
                <w:lang w:eastAsia="ar-SA"/>
              </w:rPr>
            </w:pPr>
          </w:p>
        </w:tc>
      </w:tr>
    </w:tbl>
    <w:p w:rsidR="008E3B5E" w:rsidRDefault="008E3B5E" w:rsidP="0009552C">
      <w:pPr>
        <w:snapToGrid w:val="0"/>
        <w:rPr>
          <w:rFonts w:ascii="Tahoma" w:eastAsia="PMingLiU" w:hAnsi="Tahoma" w:cs="Tahoma"/>
          <w:b/>
          <w:bCs/>
          <w:color w:val="FFFFFF"/>
          <w:sz w:val="20"/>
          <w:lang w:eastAsia="ar-SA"/>
        </w:rPr>
        <w:sectPr w:rsidR="008E3B5E" w:rsidSect="00724FF4">
          <w:headerReference w:type="default" r:id="rId36"/>
          <w:pgSz w:w="12240" w:h="15840" w:code="1"/>
          <w:pgMar w:top="576" w:right="1008" w:bottom="576" w:left="1008" w:header="360" w:footer="720" w:gutter="0"/>
          <w:cols w:space="720"/>
          <w:docGrid w:linePitch="326"/>
        </w:sectPr>
      </w:pPr>
    </w:p>
    <w:p w:rsidR="008E3B5E" w:rsidRDefault="008E3B5E" w:rsidP="0009552C">
      <w:pPr>
        <w:snapToGrid w:val="0"/>
        <w:rPr>
          <w:rFonts w:ascii="Tahoma" w:eastAsia="PMingLiU" w:hAnsi="Tahoma" w:cs="Tahoma"/>
          <w:b/>
          <w:bCs/>
          <w:color w:val="FFFFFF"/>
          <w:sz w:val="20"/>
          <w:lang w:eastAsia="ar-SA"/>
        </w:rPr>
        <w:sectPr w:rsidR="008E3B5E" w:rsidSect="00724FF4">
          <w:type w:val="continuous"/>
          <w:pgSz w:w="12240" w:h="15840" w:code="1"/>
          <w:pgMar w:top="576" w:right="1008" w:bottom="576" w:left="1008" w:header="360" w:footer="720" w:gutter="0"/>
          <w:cols w:space="720"/>
          <w:docGrid w:linePitch="326"/>
        </w:sectPr>
      </w:pPr>
    </w:p>
    <w:tbl>
      <w:tblPr>
        <w:tblW w:w="10980" w:type="dxa"/>
        <w:tblLayout w:type="fixed"/>
        <w:tblLook w:val="0000"/>
      </w:tblPr>
      <w:tblGrid>
        <w:gridCol w:w="2700"/>
        <w:gridCol w:w="8280"/>
      </w:tblGrid>
      <w:tr w:rsidR="008E5D50" w:rsidTr="008E5D50">
        <w:trPr>
          <w:trHeight w:val="368"/>
        </w:trPr>
        <w:tc>
          <w:tcPr>
            <w:tcW w:w="2700" w:type="dxa"/>
            <w:tcBorders>
              <w:top w:val="single" w:sz="4" w:space="0" w:color="000000"/>
              <w:left w:val="single" w:sz="4" w:space="0" w:color="000000"/>
              <w:bottom w:val="single" w:sz="4" w:space="0" w:color="000000"/>
            </w:tcBorders>
            <w:shd w:val="clear" w:color="auto" w:fill="808080"/>
            <w:vAlign w:val="center"/>
          </w:tcPr>
          <w:p w:rsidR="008E5D50" w:rsidRDefault="008E5D50" w:rsidP="0009552C">
            <w:pPr>
              <w:snapToGrid w:val="0"/>
              <w:rPr>
                <w:rFonts w:ascii="Tahoma" w:eastAsia="PMingLiU" w:hAnsi="Tahoma" w:cs="Tahoma"/>
                <w:b/>
                <w:bCs/>
                <w:color w:val="FFFFFF"/>
                <w:sz w:val="20"/>
                <w:lang w:eastAsia="ar-SA"/>
              </w:rPr>
            </w:pPr>
            <w:r>
              <w:rPr>
                <w:rFonts w:ascii="Tahoma" w:eastAsia="PMingLiU" w:hAnsi="Tahoma" w:cs="Tahoma"/>
                <w:b/>
                <w:bCs/>
                <w:color w:val="FFFFFF"/>
                <w:sz w:val="20"/>
                <w:lang w:eastAsia="ar-SA"/>
              </w:rPr>
              <w:t>Total Obligation</w:t>
            </w:r>
            <w:r>
              <w:rPr>
                <w:rStyle w:val="FootnoteReference"/>
                <w:rFonts w:ascii="Tahoma" w:eastAsia="PMingLiU" w:hAnsi="Tahoma" w:cs="Tahoma"/>
                <w:b/>
                <w:bCs/>
                <w:color w:val="FFFFFF"/>
                <w:sz w:val="20"/>
                <w:lang w:eastAsia="ar-SA"/>
              </w:rPr>
              <w:footnoteReference w:id="2"/>
            </w:r>
            <w:r>
              <w:rPr>
                <w:rFonts w:ascii="Tahoma" w:eastAsia="PMingLiU" w:hAnsi="Tahoma" w:cs="Tahoma"/>
                <w:b/>
                <w:bCs/>
                <w:color w:val="FFFFFF"/>
                <w:sz w:val="20"/>
                <w:lang w:eastAsia="ar-SA"/>
              </w:rPr>
              <w:t>:</w:t>
            </w:r>
          </w:p>
        </w:tc>
        <w:tc>
          <w:tcPr>
            <w:tcW w:w="82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D50" w:rsidRPr="00A900E4" w:rsidRDefault="008E5D50" w:rsidP="0009552C">
            <w:pPr>
              <w:snapToGrid w:val="0"/>
              <w:rPr>
                <w:rFonts w:ascii="Tahoma" w:eastAsia="PMingLiU" w:hAnsi="Tahoma" w:cs="Tahoma"/>
                <w:sz w:val="20"/>
                <w:lang w:eastAsia="ar-SA"/>
              </w:rPr>
            </w:pPr>
          </w:p>
        </w:tc>
      </w:tr>
      <w:tr w:rsidR="008E5D50" w:rsidTr="008E5D50">
        <w:trPr>
          <w:trHeight w:val="368"/>
        </w:trPr>
        <w:tc>
          <w:tcPr>
            <w:tcW w:w="2700" w:type="dxa"/>
            <w:tcBorders>
              <w:top w:val="single" w:sz="4" w:space="0" w:color="000000"/>
              <w:left w:val="single" w:sz="4" w:space="0" w:color="000000"/>
              <w:bottom w:val="single" w:sz="4" w:space="0" w:color="000000"/>
            </w:tcBorders>
            <w:shd w:val="clear" w:color="auto" w:fill="808080"/>
            <w:vAlign w:val="center"/>
          </w:tcPr>
          <w:p w:rsidR="008E5D50" w:rsidRDefault="008E5D50" w:rsidP="0009552C">
            <w:pPr>
              <w:snapToGrid w:val="0"/>
              <w:rPr>
                <w:rFonts w:ascii="Tahoma" w:eastAsia="PMingLiU" w:hAnsi="Tahoma" w:cs="Tahoma"/>
                <w:b/>
                <w:bCs/>
                <w:color w:val="FFFFFF"/>
                <w:sz w:val="20"/>
                <w:lang w:eastAsia="ar-SA"/>
              </w:rPr>
            </w:pPr>
            <w:r>
              <w:rPr>
                <w:rFonts w:ascii="Tahoma" w:eastAsia="PMingLiU" w:hAnsi="Tahoma" w:cs="Tahoma"/>
                <w:b/>
                <w:bCs/>
                <w:color w:val="FFFFFF"/>
                <w:sz w:val="20"/>
                <w:lang w:eastAsia="ar-SA"/>
              </w:rPr>
              <w:t>Justification of Costs:</w:t>
            </w:r>
          </w:p>
        </w:tc>
        <w:tc>
          <w:tcPr>
            <w:tcW w:w="82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D50" w:rsidRPr="00A900E4" w:rsidRDefault="008E5D50" w:rsidP="0009552C">
            <w:pPr>
              <w:snapToGrid w:val="0"/>
              <w:rPr>
                <w:rFonts w:ascii="Tahoma" w:eastAsia="PMingLiU" w:hAnsi="Tahoma" w:cs="Tahoma"/>
                <w:sz w:val="20"/>
                <w:lang w:eastAsia="ar-SA"/>
              </w:rPr>
            </w:pPr>
          </w:p>
        </w:tc>
      </w:tr>
      <w:tr w:rsidR="008E5D50" w:rsidTr="008E5D50">
        <w:trPr>
          <w:cantSplit/>
          <w:trHeight w:val="440"/>
          <w:tblHeader/>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003366"/>
            <w:vAlign w:val="center"/>
          </w:tcPr>
          <w:p w:rsidR="008E5D50" w:rsidRDefault="008E5D50" w:rsidP="0009552C">
            <w:pPr>
              <w:pStyle w:val="Heading3"/>
              <w:snapToGrid w:val="0"/>
              <w:jc w:val="left"/>
              <w:rPr>
                <w:rFonts w:ascii="Tahoma" w:eastAsia="PMingLiU" w:hAnsi="Tahoma" w:cs="Tahoma"/>
                <w:color w:val="FFFFFF"/>
                <w:sz w:val="20"/>
                <w:szCs w:val="20"/>
                <w:lang w:eastAsia="ar-SA"/>
              </w:rPr>
            </w:pPr>
            <w:r>
              <w:rPr>
                <w:rFonts w:ascii="Tahoma" w:eastAsia="PMingLiU" w:hAnsi="Tahoma" w:cs="Tahoma"/>
                <w:color w:val="FFFFFF"/>
                <w:sz w:val="20"/>
                <w:szCs w:val="20"/>
                <w:lang w:eastAsia="ar-SA"/>
              </w:rPr>
              <w:t>Primary Method Used to Support the Conference (check one):</w:t>
            </w:r>
          </w:p>
        </w:tc>
      </w:tr>
      <w:tr w:rsidR="008E5D50" w:rsidTr="008E5D50">
        <w:trPr>
          <w:cantSplit/>
          <w:trHeight w:val="1322"/>
          <w:tblHeader/>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D50" w:rsidRDefault="008E5D50" w:rsidP="0009552C">
            <w:pPr>
              <w:pStyle w:val="Heading3"/>
              <w:snapToGrid w:val="0"/>
              <w:jc w:val="left"/>
              <w:rPr>
                <w:rFonts w:ascii="Tahoma" w:eastAsia="PMingLiU" w:hAnsi="Tahoma" w:cs="Tahoma"/>
                <w:color w:val="FFFFFF"/>
                <w:sz w:val="20"/>
                <w:szCs w:val="20"/>
                <w:lang w:eastAsia="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07"/>
              <w:gridCol w:w="1890"/>
              <w:gridCol w:w="1620"/>
              <w:gridCol w:w="4832"/>
            </w:tblGrid>
            <w:tr w:rsidR="008E5D50" w:rsidTr="0009552C">
              <w:tc>
                <w:tcPr>
                  <w:tcW w:w="2407" w:type="dxa"/>
                  <w:shd w:val="clear" w:color="auto" w:fill="auto"/>
                </w:tcPr>
                <w:p w:rsidR="008E5D50" w:rsidRPr="00350B29" w:rsidRDefault="007E7BBD" w:rsidP="0009552C">
                  <w:pPr>
                    <w:rPr>
                      <w:rFonts w:ascii="Tahoma" w:hAnsi="Tahoma" w:cs="Tahoma"/>
                      <w:b/>
                      <w:sz w:val="20"/>
                      <w:szCs w:val="20"/>
                    </w:rPr>
                  </w:pPr>
                  <w:r>
                    <w:fldChar w:fldCharType="begin">
                      <w:ffData>
                        <w:name w:val="Check1"/>
                        <w:enabled/>
                        <w:calcOnExit w:val="0"/>
                        <w:checkBox>
                          <w:size w:val="20"/>
                          <w:default w:val="0"/>
                        </w:checkBox>
                      </w:ffData>
                    </w:fldChar>
                  </w:r>
                  <w:r w:rsidR="008E5D50">
                    <w:instrText xml:space="preserve"> FORMCHECKBOX </w:instrText>
                  </w:r>
                  <w:r>
                    <w:fldChar w:fldCharType="end"/>
                  </w:r>
                  <w:r w:rsidR="008E5D50">
                    <w:t xml:space="preserve"> </w:t>
                  </w:r>
                  <w:r w:rsidR="008E5D50" w:rsidRPr="00350B29">
                    <w:rPr>
                      <w:rFonts w:ascii="Tahoma" w:hAnsi="Tahoma" w:cs="Tahoma"/>
                      <w:b/>
                      <w:sz w:val="20"/>
                      <w:szCs w:val="20"/>
                    </w:rPr>
                    <w:t>Government Staff</w:t>
                  </w:r>
                </w:p>
                <w:p w:rsidR="008E5D50" w:rsidRDefault="008E5D50" w:rsidP="0009552C">
                  <w:pPr>
                    <w:rPr>
                      <w:lang w:eastAsia="ar-SA"/>
                    </w:rPr>
                  </w:pPr>
                </w:p>
              </w:tc>
              <w:tc>
                <w:tcPr>
                  <w:tcW w:w="1890" w:type="dxa"/>
                  <w:shd w:val="clear" w:color="auto" w:fill="auto"/>
                </w:tcPr>
                <w:p w:rsidR="008E5D50" w:rsidRPr="00350B29" w:rsidRDefault="007E7BBD" w:rsidP="0009552C">
                  <w:pPr>
                    <w:rPr>
                      <w:rFonts w:ascii="Tahoma" w:hAnsi="Tahoma" w:cs="Tahoma"/>
                      <w:b/>
                      <w:sz w:val="20"/>
                      <w:szCs w:val="20"/>
                    </w:rPr>
                  </w:pPr>
                  <w:r>
                    <w:fldChar w:fldCharType="begin">
                      <w:ffData>
                        <w:name w:val="Check1"/>
                        <w:enabled/>
                        <w:calcOnExit w:val="0"/>
                        <w:checkBox>
                          <w:size w:val="20"/>
                          <w:default w:val="0"/>
                        </w:checkBox>
                      </w:ffData>
                    </w:fldChar>
                  </w:r>
                  <w:r w:rsidR="008E5D50">
                    <w:instrText xml:space="preserve"> FORMCHECKBOX </w:instrText>
                  </w:r>
                  <w:r>
                    <w:fldChar w:fldCharType="end"/>
                  </w:r>
                  <w:r w:rsidR="008E5D50">
                    <w:t xml:space="preserve"> </w:t>
                  </w:r>
                  <w:r w:rsidR="008E5D50">
                    <w:rPr>
                      <w:rFonts w:ascii="Tahoma" w:hAnsi="Tahoma" w:cs="Tahoma"/>
                      <w:b/>
                      <w:sz w:val="20"/>
                      <w:szCs w:val="20"/>
                    </w:rPr>
                    <w:t>Contractor</w:t>
                  </w:r>
                </w:p>
                <w:p w:rsidR="008E5D50" w:rsidRDefault="008E5D50" w:rsidP="0009552C">
                  <w:pPr>
                    <w:rPr>
                      <w:lang w:eastAsia="ar-SA"/>
                    </w:rPr>
                  </w:pPr>
                </w:p>
              </w:tc>
              <w:tc>
                <w:tcPr>
                  <w:tcW w:w="1620" w:type="dxa"/>
                  <w:shd w:val="clear" w:color="auto" w:fill="auto"/>
                </w:tcPr>
                <w:p w:rsidR="008E5D50" w:rsidRPr="00350B29" w:rsidRDefault="007E7BBD" w:rsidP="0009552C">
                  <w:pPr>
                    <w:rPr>
                      <w:rFonts w:ascii="Tahoma" w:hAnsi="Tahoma" w:cs="Tahoma"/>
                      <w:b/>
                      <w:sz w:val="20"/>
                      <w:szCs w:val="20"/>
                    </w:rPr>
                  </w:pPr>
                  <w:r>
                    <w:fldChar w:fldCharType="begin">
                      <w:ffData>
                        <w:name w:val="Check1"/>
                        <w:enabled/>
                        <w:calcOnExit w:val="0"/>
                        <w:checkBox>
                          <w:size w:val="20"/>
                          <w:default w:val="0"/>
                        </w:checkBox>
                      </w:ffData>
                    </w:fldChar>
                  </w:r>
                  <w:r w:rsidR="008E5D50">
                    <w:instrText xml:space="preserve"> FORMCHECKBOX </w:instrText>
                  </w:r>
                  <w:r>
                    <w:fldChar w:fldCharType="end"/>
                  </w:r>
                  <w:r w:rsidR="008E5D50">
                    <w:t xml:space="preserve"> </w:t>
                  </w:r>
                  <w:r w:rsidR="008E5D50">
                    <w:rPr>
                      <w:rFonts w:ascii="Tahoma" w:hAnsi="Tahoma" w:cs="Tahoma"/>
                      <w:b/>
                      <w:sz w:val="20"/>
                      <w:szCs w:val="20"/>
                    </w:rPr>
                    <w:t>Grantee</w:t>
                  </w:r>
                </w:p>
                <w:p w:rsidR="008E5D50" w:rsidRDefault="008E5D50" w:rsidP="0009552C">
                  <w:pPr>
                    <w:rPr>
                      <w:lang w:eastAsia="ar-SA"/>
                    </w:rPr>
                  </w:pPr>
                </w:p>
              </w:tc>
              <w:tc>
                <w:tcPr>
                  <w:tcW w:w="4832" w:type="dxa"/>
                  <w:shd w:val="clear" w:color="auto" w:fill="auto"/>
                </w:tcPr>
                <w:p w:rsidR="008E5D50" w:rsidRPr="00350B29" w:rsidRDefault="007E7BBD" w:rsidP="0009552C">
                  <w:pPr>
                    <w:rPr>
                      <w:rFonts w:ascii="Tahoma" w:hAnsi="Tahoma" w:cs="Tahoma"/>
                      <w:b/>
                      <w:sz w:val="20"/>
                      <w:szCs w:val="20"/>
                    </w:rPr>
                  </w:pPr>
                  <w:r>
                    <w:fldChar w:fldCharType="begin">
                      <w:ffData>
                        <w:name w:val="Check1"/>
                        <w:enabled/>
                        <w:calcOnExit w:val="0"/>
                        <w:checkBox>
                          <w:size w:val="20"/>
                          <w:default w:val="0"/>
                        </w:checkBox>
                      </w:ffData>
                    </w:fldChar>
                  </w:r>
                  <w:r w:rsidR="008E5D50">
                    <w:instrText xml:space="preserve"> FORMCHECKBOX </w:instrText>
                  </w:r>
                  <w:r>
                    <w:fldChar w:fldCharType="end"/>
                  </w:r>
                  <w:r w:rsidR="008E5D50">
                    <w:t xml:space="preserve"> </w:t>
                  </w:r>
                  <w:r w:rsidR="008E5D50">
                    <w:rPr>
                      <w:rFonts w:ascii="Tahoma" w:hAnsi="Tahoma" w:cs="Tahoma"/>
                      <w:b/>
                      <w:sz w:val="20"/>
                      <w:szCs w:val="20"/>
                    </w:rPr>
                    <w:t>Cooperative Agreement Awardee</w:t>
                  </w:r>
                </w:p>
              </w:tc>
            </w:tr>
            <w:tr w:rsidR="008E5D50" w:rsidTr="0009552C">
              <w:tc>
                <w:tcPr>
                  <w:tcW w:w="10749" w:type="dxa"/>
                  <w:gridSpan w:val="4"/>
                  <w:shd w:val="clear" w:color="auto" w:fill="auto"/>
                </w:tcPr>
                <w:p w:rsidR="008E5D50" w:rsidRPr="002B5401" w:rsidRDefault="007E7BBD" w:rsidP="0009552C">
                  <w:pPr>
                    <w:rPr>
                      <w:rFonts w:ascii="Tahoma" w:hAnsi="Tahoma" w:cs="Tahoma"/>
                      <w:sz w:val="20"/>
                      <w:szCs w:val="20"/>
                    </w:rPr>
                  </w:pPr>
                  <w:r>
                    <w:fldChar w:fldCharType="begin">
                      <w:ffData>
                        <w:name w:val="Check1"/>
                        <w:enabled/>
                        <w:calcOnExit w:val="0"/>
                        <w:checkBox>
                          <w:size w:val="20"/>
                          <w:default w:val="0"/>
                        </w:checkBox>
                      </w:ffData>
                    </w:fldChar>
                  </w:r>
                  <w:r w:rsidR="008E5D50">
                    <w:instrText xml:space="preserve"> FORMCHECKBOX </w:instrText>
                  </w:r>
                  <w:r>
                    <w:fldChar w:fldCharType="end"/>
                  </w:r>
                  <w:r w:rsidR="008E5D50">
                    <w:t xml:space="preserve"> </w:t>
                  </w:r>
                  <w:r w:rsidR="008E5D50">
                    <w:rPr>
                      <w:rFonts w:ascii="Tahoma" w:hAnsi="Tahoma" w:cs="Tahoma"/>
                      <w:b/>
                      <w:sz w:val="20"/>
                      <w:szCs w:val="20"/>
                    </w:rPr>
                    <w:t>Other (Specify)</w:t>
                  </w:r>
                </w:p>
                <w:p w:rsidR="008E5D50" w:rsidRDefault="008E5D50" w:rsidP="0009552C">
                  <w:pPr>
                    <w:rPr>
                      <w:lang w:eastAsia="ar-SA"/>
                    </w:rPr>
                  </w:pPr>
                </w:p>
              </w:tc>
            </w:tr>
          </w:tbl>
          <w:p w:rsidR="008E5D50" w:rsidRPr="00D13B04" w:rsidRDefault="008E5D50" w:rsidP="0009552C">
            <w:pPr>
              <w:rPr>
                <w:lang w:eastAsia="ar-SA"/>
              </w:rPr>
            </w:pPr>
          </w:p>
        </w:tc>
      </w:tr>
      <w:tr w:rsidR="008E5D50" w:rsidTr="008E5D50">
        <w:trPr>
          <w:cantSplit/>
          <w:trHeight w:val="620"/>
          <w:tblHeader/>
        </w:trPr>
        <w:tc>
          <w:tcPr>
            <w:tcW w:w="10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tbl>
            <w:tblPr>
              <w:tblStyle w:val="TableGrid"/>
              <w:tblW w:w="0" w:type="auto"/>
              <w:tblBorders>
                <w:bottom w:val="none" w:sz="0" w:space="0" w:color="auto"/>
              </w:tblBorders>
              <w:tblLayout w:type="fixed"/>
              <w:tblLook w:val="04A0"/>
            </w:tblPr>
            <w:tblGrid>
              <w:gridCol w:w="2407"/>
              <w:gridCol w:w="8342"/>
            </w:tblGrid>
            <w:tr w:rsidR="008E5D50" w:rsidTr="0009552C">
              <w:tc>
                <w:tcPr>
                  <w:tcW w:w="2407" w:type="dxa"/>
                  <w:tcBorders>
                    <w:top w:val="nil"/>
                    <w:left w:val="nil"/>
                    <w:bottom w:val="nil"/>
                    <w:right w:val="nil"/>
                  </w:tcBorders>
                  <w:shd w:val="clear" w:color="auto" w:fill="auto"/>
                </w:tcPr>
                <w:p w:rsidR="008E5D50" w:rsidRPr="00350B29" w:rsidRDefault="007E7BBD" w:rsidP="0009552C">
                  <w:pPr>
                    <w:rPr>
                      <w:rFonts w:ascii="Tahoma" w:hAnsi="Tahoma" w:cs="Tahoma"/>
                      <w:b/>
                      <w:sz w:val="20"/>
                      <w:szCs w:val="20"/>
                    </w:rPr>
                  </w:pPr>
                  <w:r>
                    <w:fldChar w:fldCharType="begin">
                      <w:ffData>
                        <w:name w:val="Check1"/>
                        <w:enabled/>
                        <w:calcOnExit w:val="0"/>
                        <w:checkBox>
                          <w:size w:val="20"/>
                          <w:default w:val="0"/>
                        </w:checkBox>
                      </w:ffData>
                    </w:fldChar>
                  </w:r>
                  <w:r w:rsidR="008E5D50">
                    <w:instrText xml:space="preserve"> FORMCHECKBOX </w:instrText>
                  </w:r>
                  <w:r>
                    <w:fldChar w:fldCharType="end"/>
                  </w:r>
                  <w:r w:rsidR="008E5D50">
                    <w:t xml:space="preserve"> </w:t>
                  </w:r>
                  <w:r w:rsidR="008E5D50">
                    <w:rPr>
                      <w:rFonts w:ascii="Tahoma" w:hAnsi="Tahoma" w:cs="Tahoma"/>
                      <w:b/>
                      <w:sz w:val="20"/>
                      <w:szCs w:val="20"/>
                    </w:rPr>
                    <w:t>Federal Space</w:t>
                  </w:r>
                </w:p>
                <w:p w:rsidR="008E5D50" w:rsidRDefault="008E5D50" w:rsidP="0009552C">
                  <w:pPr>
                    <w:rPr>
                      <w:lang w:eastAsia="ar-SA"/>
                    </w:rPr>
                  </w:pPr>
                </w:p>
              </w:tc>
              <w:tc>
                <w:tcPr>
                  <w:tcW w:w="8342" w:type="dxa"/>
                  <w:tcBorders>
                    <w:top w:val="nil"/>
                    <w:left w:val="nil"/>
                    <w:bottom w:val="nil"/>
                    <w:right w:val="nil"/>
                  </w:tcBorders>
                  <w:shd w:val="clear" w:color="auto" w:fill="auto"/>
                </w:tcPr>
                <w:p w:rsidR="008E5D50" w:rsidRPr="00350B29" w:rsidRDefault="007E7BBD" w:rsidP="0009552C">
                  <w:pPr>
                    <w:rPr>
                      <w:rFonts w:ascii="Tahoma" w:hAnsi="Tahoma" w:cs="Tahoma"/>
                      <w:b/>
                      <w:sz w:val="20"/>
                      <w:szCs w:val="20"/>
                    </w:rPr>
                  </w:pPr>
                  <w:r>
                    <w:fldChar w:fldCharType="begin">
                      <w:ffData>
                        <w:name w:val="Check1"/>
                        <w:enabled/>
                        <w:calcOnExit w:val="0"/>
                        <w:checkBox>
                          <w:size w:val="20"/>
                          <w:default w:val="0"/>
                        </w:checkBox>
                      </w:ffData>
                    </w:fldChar>
                  </w:r>
                  <w:r w:rsidR="008E5D50">
                    <w:instrText xml:space="preserve"> FORMCHECKBOX </w:instrText>
                  </w:r>
                  <w:r>
                    <w:fldChar w:fldCharType="end"/>
                  </w:r>
                  <w:r w:rsidR="008E5D50">
                    <w:t xml:space="preserve"> </w:t>
                  </w:r>
                  <w:r w:rsidR="008E5D50">
                    <w:rPr>
                      <w:rFonts w:ascii="Tahoma" w:hAnsi="Tahoma" w:cs="Tahoma"/>
                      <w:b/>
                      <w:sz w:val="20"/>
                      <w:szCs w:val="20"/>
                    </w:rPr>
                    <w:t>Non-Federal Space</w:t>
                  </w:r>
                </w:p>
                <w:p w:rsidR="008E5D50" w:rsidRPr="00350B29" w:rsidRDefault="008E5D50" w:rsidP="0009552C">
                  <w:pPr>
                    <w:rPr>
                      <w:rFonts w:ascii="Tahoma" w:hAnsi="Tahoma" w:cs="Tahoma"/>
                      <w:b/>
                      <w:sz w:val="20"/>
                      <w:szCs w:val="20"/>
                    </w:rPr>
                  </w:pPr>
                </w:p>
              </w:tc>
            </w:tr>
          </w:tbl>
          <w:p w:rsidR="008E5D50" w:rsidRPr="00D13B04" w:rsidRDefault="008E5D50" w:rsidP="0009552C">
            <w:pPr>
              <w:rPr>
                <w:lang w:eastAsia="ar-SA"/>
              </w:rPr>
            </w:pPr>
          </w:p>
        </w:tc>
      </w:tr>
      <w:tr w:rsidR="008E5D50" w:rsidTr="008E5D50">
        <w:trPr>
          <w:trHeight w:val="1025"/>
        </w:trPr>
        <w:tc>
          <w:tcPr>
            <w:tcW w:w="2700" w:type="dxa"/>
            <w:tcBorders>
              <w:top w:val="single" w:sz="4" w:space="0" w:color="000000"/>
              <w:left w:val="single" w:sz="4" w:space="0" w:color="000000"/>
              <w:bottom w:val="single" w:sz="4" w:space="0" w:color="000000"/>
            </w:tcBorders>
            <w:shd w:val="clear" w:color="auto" w:fill="808080"/>
            <w:vAlign w:val="center"/>
          </w:tcPr>
          <w:p w:rsidR="008E5D50" w:rsidRDefault="008E5D50" w:rsidP="0009552C">
            <w:pPr>
              <w:snapToGrid w:val="0"/>
              <w:rPr>
                <w:rFonts w:ascii="Tahoma" w:eastAsia="PMingLiU" w:hAnsi="Tahoma" w:cs="Tahoma"/>
                <w:b/>
                <w:bCs/>
                <w:color w:val="FFFFFF"/>
                <w:sz w:val="20"/>
                <w:lang w:eastAsia="ar-SA"/>
              </w:rPr>
            </w:pPr>
            <w:r>
              <w:rPr>
                <w:rFonts w:ascii="Tahoma" w:eastAsia="PMingLiU" w:hAnsi="Tahoma" w:cs="Tahoma"/>
                <w:b/>
                <w:bCs/>
                <w:color w:val="FFFFFF"/>
                <w:sz w:val="20"/>
                <w:lang w:eastAsia="ar-SA"/>
              </w:rPr>
              <w:t>If not in Federal Space, an explanation why not:</w:t>
            </w:r>
          </w:p>
        </w:tc>
        <w:tc>
          <w:tcPr>
            <w:tcW w:w="82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D50" w:rsidRPr="00A900E4" w:rsidRDefault="008E5D50" w:rsidP="0009552C">
            <w:pPr>
              <w:snapToGrid w:val="0"/>
              <w:rPr>
                <w:rFonts w:ascii="Tahoma" w:eastAsia="PMingLiU" w:hAnsi="Tahoma" w:cs="Tahoma"/>
                <w:sz w:val="20"/>
                <w:highlight w:val="black"/>
                <w:lang w:eastAsia="ar-SA"/>
              </w:rPr>
            </w:pPr>
          </w:p>
        </w:tc>
      </w:tr>
    </w:tbl>
    <w:p w:rsidR="008E5D50" w:rsidRDefault="008E5D50" w:rsidP="0009552C"/>
    <w:tbl>
      <w:tblPr>
        <w:tblStyle w:val="TableGrid"/>
        <w:tblpPr w:leftFromText="180" w:rightFromText="180" w:vertAnchor="text" w:horzAnchor="margin" w:tblpY="50"/>
        <w:tblW w:w="10980"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8370"/>
        <w:gridCol w:w="2610"/>
      </w:tblGrid>
      <w:tr w:rsidR="008E5D50" w:rsidRPr="008103E3" w:rsidTr="008E5D50">
        <w:tc>
          <w:tcPr>
            <w:tcW w:w="8370" w:type="dxa"/>
            <w:tcBorders>
              <w:top w:val="single" w:sz="4" w:space="0" w:color="auto"/>
              <w:bottom w:val="single" w:sz="4" w:space="0" w:color="auto"/>
            </w:tcBorders>
          </w:tcPr>
          <w:p w:rsidR="008E5D50" w:rsidRPr="008103E3" w:rsidRDefault="008E5D50" w:rsidP="008E5D50">
            <w:pPr>
              <w:rPr>
                <w:rFonts w:ascii="Tahoma" w:hAnsi="Tahoma" w:cs="Tahoma"/>
              </w:rPr>
            </w:pPr>
            <w:r w:rsidRPr="008103E3">
              <w:rPr>
                <w:rFonts w:ascii="Tahoma" w:hAnsi="Tahoma" w:cs="Tahoma"/>
              </w:rPr>
              <w:t>IC Executive Officer</w:t>
            </w:r>
          </w:p>
          <w:p w:rsidR="008E5D50" w:rsidRDefault="008E5D50" w:rsidP="008E5D50">
            <w:pPr>
              <w:rPr>
                <w:rFonts w:ascii="Tahoma" w:hAnsi="Tahoma" w:cs="Tahoma"/>
              </w:rPr>
            </w:pPr>
          </w:p>
          <w:p w:rsidR="008E5D50" w:rsidRPr="008103E3" w:rsidRDefault="008E5D50" w:rsidP="008E5D50">
            <w:pPr>
              <w:rPr>
                <w:rFonts w:ascii="Tahoma" w:hAnsi="Tahoma" w:cs="Tahoma"/>
              </w:rPr>
            </w:pPr>
          </w:p>
        </w:tc>
        <w:tc>
          <w:tcPr>
            <w:tcW w:w="2610" w:type="dxa"/>
            <w:tcBorders>
              <w:top w:val="single" w:sz="4" w:space="0" w:color="auto"/>
              <w:bottom w:val="single" w:sz="4" w:space="0" w:color="auto"/>
            </w:tcBorders>
          </w:tcPr>
          <w:p w:rsidR="008E5D50" w:rsidRPr="008103E3" w:rsidRDefault="008E5D50" w:rsidP="008E5D50">
            <w:pPr>
              <w:rPr>
                <w:rFonts w:ascii="Tahoma" w:hAnsi="Tahoma" w:cs="Tahoma"/>
              </w:rPr>
            </w:pPr>
            <w:r w:rsidRPr="008103E3">
              <w:rPr>
                <w:rFonts w:ascii="Tahoma" w:hAnsi="Tahoma" w:cs="Tahoma"/>
              </w:rPr>
              <w:t>Date</w:t>
            </w:r>
          </w:p>
        </w:tc>
      </w:tr>
      <w:tr w:rsidR="008E5D50" w:rsidRPr="008103E3" w:rsidTr="008E5D50">
        <w:tc>
          <w:tcPr>
            <w:tcW w:w="8370" w:type="dxa"/>
            <w:tcBorders>
              <w:top w:val="single" w:sz="4" w:space="0" w:color="auto"/>
              <w:bottom w:val="single" w:sz="4" w:space="0" w:color="auto"/>
            </w:tcBorders>
          </w:tcPr>
          <w:p w:rsidR="008E5D50" w:rsidRDefault="008E5D50" w:rsidP="008E5D50">
            <w:pPr>
              <w:rPr>
                <w:rFonts w:ascii="Tahoma" w:hAnsi="Tahoma" w:cs="Tahoma"/>
                <w:sz w:val="16"/>
                <w:szCs w:val="16"/>
              </w:rPr>
            </w:pPr>
            <w:r>
              <w:rPr>
                <w:rFonts w:ascii="Tahoma" w:hAnsi="Tahoma" w:cs="Tahoma"/>
              </w:rPr>
              <w:t>Head of the Contracting Activity</w:t>
            </w:r>
            <w:r w:rsidR="00B56F42">
              <w:rPr>
                <w:rFonts w:ascii="Tahoma" w:hAnsi="Tahoma" w:cs="Tahoma"/>
              </w:rPr>
              <w:t xml:space="preserve"> </w:t>
            </w:r>
            <w:r>
              <w:rPr>
                <w:rFonts w:ascii="Tahoma" w:hAnsi="Tahoma" w:cs="Tahoma"/>
                <w:sz w:val="16"/>
                <w:szCs w:val="16"/>
              </w:rPr>
              <w:t>(Required for all meetings/conferences &gt;$100K)</w:t>
            </w:r>
          </w:p>
          <w:p w:rsidR="008E5D50" w:rsidRPr="008103E3" w:rsidRDefault="008E5D50" w:rsidP="008E5D50">
            <w:pPr>
              <w:rPr>
                <w:rFonts w:ascii="Tahoma" w:hAnsi="Tahoma" w:cs="Tahoma"/>
                <w:sz w:val="16"/>
                <w:szCs w:val="16"/>
              </w:rPr>
            </w:pPr>
          </w:p>
        </w:tc>
        <w:tc>
          <w:tcPr>
            <w:tcW w:w="2610" w:type="dxa"/>
            <w:tcBorders>
              <w:top w:val="single" w:sz="4" w:space="0" w:color="auto"/>
              <w:bottom w:val="single" w:sz="4" w:space="0" w:color="auto"/>
            </w:tcBorders>
          </w:tcPr>
          <w:p w:rsidR="008E5D50" w:rsidRDefault="008E5D50" w:rsidP="008E5D50">
            <w:pPr>
              <w:rPr>
                <w:rFonts w:ascii="Tahoma" w:hAnsi="Tahoma" w:cs="Tahoma"/>
              </w:rPr>
            </w:pPr>
            <w:r>
              <w:rPr>
                <w:rFonts w:ascii="Tahoma" w:hAnsi="Tahoma" w:cs="Tahoma"/>
              </w:rPr>
              <w:t>Date</w:t>
            </w:r>
          </w:p>
          <w:p w:rsidR="008E5D50" w:rsidRDefault="008E5D50" w:rsidP="008E5D50">
            <w:pPr>
              <w:rPr>
                <w:rFonts w:ascii="Tahoma" w:hAnsi="Tahoma" w:cs="Tahoma"/>
              </w:rPr>
            </w:pPr>
          </w:p>
          <w:p w:rsidR="008E5D50" w:rsidRPr="008103E3" w:rsidRDefault="008E5D50" w:rsidP="008E5D50">
            <w:pPr>
              <w:rPr>
                <w:rFonts w:ascii="Tahoma" w:hAnsi="Tahoma" w:cs="Tahoma"/>
              </w:rPr>
            </w:pPr>
          </w:p>
        </w:tc>
      </w:tr>
      <w:tr w:rsidR="008E5D50" w:rsidRPr="008103E3" w:rsidTr="008E5D50">
        <w:tc>
          <w:tcPr>
            <w:tcW w:w="8370" w:type="dxa"/>
            <w:tcBorders>
              <w:top w:val="single" w:sz="4" w:space="0" w:color="auto"/>
              <w:bottom w:val="nil"/>
            </w:tcBorders>
          </w:tcPr>
          <w:p w:rsidR="00B56F42" w:rsidRDefault="008E5D50" w:rsidP="00B56F42">
            <w:pPr>
              <w:rPr>
                <w:rFonts w:ascii="Tahoma" w:hAnsi="Tahoma" w:cs="Tahoma"/>
                <w:sz w:val="16"/>
                <w:szCs w:val="16"/>
              </w:rPr>
            </w:pPr>
            <w:r>
              <w:rPr>
                <w:rFonts w:ascii="Tahoma" w:hAnsi="Tahoma" w:cs="Tahoma"/>
              </w:rPr>
              <w:t>Deputy Director of Management</w:t>
            </w:r>
            <w:r w:rsidR="00B56F42">
              <w:rPr>
                <w:rFonts w:ascii="Tahoma" w:hAnsi="Tahoma" w:cs="Tahoma"/>
                <w:sz w:val="16"/>
                <w:szCs w:val="16"/>
              </w:rPr>
              <w:t xml:space="preserve">  (Required for all meetings/conferences &gt;$100K)</w:t>
            </w:r>
          </w:p>
          <w:p w:rsidR="008E5D50" w:rsidRDefault="008E5D50" w:rsidP="008E5D50">
            <w:pPr>
              <w:rPr>
                <w:rFonts w:ascii="Tahoma" w:hAnsi="Tahoma" w:cs="Tahoma"/>
              </w:rPr>
            </w:pPr>
          </w:p>
          <w:p w:rsidR="008E5D50" w:rsidRPr="008103E3" w:rsidRDefault="008E5D50" w:rsidP="008E5D50">
            <w:pPr>
              <w:rPr>
                <w:rFonts w:ascii="Tahoma" w:hAnsi="Tahoma" w:cs="Tahoma"/>
              </w:rPr>
            </w:pPr>
          </w:p>
        </w:tc>
        <w:tc>
          <w:tcPr>
            <w:tcW w:w="2610" w:type="dxa"/>
            <w:tcBorders>
              <w:top w:val="single" w:sz="4" w:space="0" w:color="auto"/>
              <w:bottom w:val="nil"/>
            </w:tcBorders>
          </w:tcPr>
          <w:p w:rsidR="008E5D50" w:rsidRPr="008103E3" w:rsidRDefault="008E5D50" w:rsidP="008E5D50">
            <w:pPr>
              <w:rPr>
                <w:rFonts w:ascii="Tahoma" w:hAnsi="Tahoma" w:cs="Tahoma"/>
              </w:rPr>
            </w:pPr>
            <w:r>
              <w:rPr>
                <w:rFonts w:ascii="Tahoma" w:hAnsi="Tahoma" w:cs="Tahoma"/>
              </w:rPr>
              <w:t>Date</w:t>
            </w:r>
          </w:p>
        </w:tc>
      </w:tr>
    </w:tbl>
    <w:p w:rsidR="00D214D7" w:rsidRDefault="00D214D7">
      <w:pPr>
        <w:rPr>
          <w:rFonts w:asciiTheme="minorHAnsi" w:hAnsiTheme="minorHAnsi" w:cs="Arial"/>
          <w:sz w:val="22"/>
          <w:szCs w:val="22"/>
        </w:rPr>
      </w:pPr>
    </w:p>
    <w:p w:rsidR="00D214D7" w:rsidRPr="00D214D7" w:rsidRDefault="00D214D7" w:rsidP="00D214D7">
      <w:pPr>
        <w:jc w:val="center"/>
        <w:rPr>
          <w:rFonts w:asciiTheme="minorHAnsi" w:hAnsiTheme="minorHAnsi" w:cs="Arial"/>
          <w:sz w:val="22"/>
          <w:szCs w:val="22"/>
        </w:rPr>
      </w:pPr>
      <w:r>
        <w:rPr>
          <w:rFonts w:asciiTheme="minorHAnsi" w:hAnsiTheme="minorHAnsi" w:cs="Arial"/>
          <w:sz w:val="22"/>
          <w:szCs w:val="22"/>
        </w:rPr>
        <w:br w:type="page"/>
      </w:r>
      <w:r w:rsidRPr="0093457C">
        <w:rPr>
          <w:b/>
          <w:sz w:val="22"/>
          <w:szCs w:val="22"/>
          <w:u w:val="single"/>
        </w:rPr>
        <w:t xml:space="preserve">Detailed Instructions </w:t>
      </w:r>
      <w:proofErr w:type="gramStart"/>
      <w:r w:rsidRPr="0093457C">
        <w:rPr>
          <w:b/>
          <w:sz w:val="22"/>
          <w:szCs w:val="22"/>
          <w:u w:val="single"/>
        </w:rPr>
        <w:t>For</w:t>
      </w:r>
      <w:proofErr w:type="gramEnd"/>
      <w:r w:rsidRPr="0093457C">
        <w:rPr>
          <w:b/>
          <w:sz w:val="22"/>
          <w:szCs w:val="22"/>
          <w:u w:val="single"/>
        </w:rPr>
        <w:t xml:space="preserve"> Entering Meeting Data Into The</w:t>
      </w:r>
      <w:r>
        <w:rPr>
          <w:b/>
          <w:u w:val="single"/>
        </w:rPr>
        <w:t xml:space="preserve"> Era/Meeting Maintenance Module</w:t>
      </w:r>
    </w:p>
    <w:p w:rsidR="00D214D7" w:rsidRPr="0093457C" w:rsidRDefault="00D214D7" w:rsidP="00D214D7">
      <w:pPr>
        <w:jc w:val="center"/>
        <w:rPr>
          <w:b/>
          <w:sz w:val="22"/>
          <w:szCs w:val="22"/>
          <w:u w:val="single"/>
        </w:rPr>
      </w:pPr>
    </w:p>
    <w:p w:rsidR="00D214D7" w:rsidRPr="0093457C" w:rsidRDefault="00D214D7" w:rsidP="00D214D7">
      <w:pPr>
        <w:rPr>
          <w:sz w:val="22"/>
          <w:szCs w:val="22"/>
        </w:rPr>
      </w:pPr>
      <w:r w:rsidRPr="0093457C">
        <w:rPr>
          <w:sz w:val="22"/>
          <w:szCs w:val="22"/>
        </w:rPr>
        <w:t xml:space="preserve">Effective immediately, ICs and CSR staff are required to enter detailed information related to meetings that are held in non-Federal facilities into the Meeting Maintenance Module within </w:t>
      </w:r>
      <w:proofErr w:type="spellStart"/>
      <w:r w:rsidRPr="0093457C">
        <w:rPr>
          <w:sz w:val="22"/>
          <w:szCs w:val="22"/>
        </w:rPr>
        <w:t>eRA</w:t>
      </w:r>
      <w:proofErr w:type="spellEnd"/>
      <w:r w:rsidRPr="0093457C">
        <w:rPr>
          <w:sz w:val="22"/>
          <w:szCs w:val="22"/>
        </w:rPr>
        <w:t xml:space="preserve">.  ICs and/or CSR staff must enter the following data within 10 days </w:t>
      </w:r>
      <w:r w:rsidRPr="0093457C">
        <w:rPr>
          <w:b/>
          <w:sz w:val="22"/>
          <w:szCs w:val="22"/>
          <w:u w:val="single"/>
        </w:rPr>
        <w:t>prior to</w:t>
      </w:r>
      <w:r w:rsidRPr="0093457C">
        <w:rPr>
          <w:sz w:val="22"/>
          <w:szCs w:val="22"/>
        </w:rPr>
        <w:t xml:space="preserve"> the actual meeting date:</w:t>
      </w:r>
    </w:p>
    <w:p w:rsidR="00D214D7" w:rsidRPr="0093457C" w:rsidRDefault="00D214D7" w:rsidP="00D214D7">
      <w:pPr>
        <w:pStyle w:val="ListParagraph"/>
        <w:numPr>
          <w:ilvl w:val="0"/>
          <w:numId w:val="18"/>
        </w:numPr>
        <w:rPr>
          <w:sz w:val="22"/>
          <w:szCs w:val="22"/>
        </w:rPr>
      </w:pPr>
      <w:r w:rsidRPr="0093457C">
        <w:rPr>
          <w:sz w:val="22"/>
          <w:szCs w:val="22"/>
        </w:rPr>
        <w:t>Initial Completion Date</w:t>
      </w:r>
    </w:p>
    <w:p w:rsidR="00D214D7" w:rsidRPr="0093457C" w:rsidRDefault="00D214D7" w:rsidP="00D214D7">
      <w:pPr>
        <w:pStyle w:val="ListParagraph"/>
        <w:numPr>
          <w:ilvl w:val="0"/>
          <w:numId w:val="18"/>
        </w:numPr>
        <w:rPr>
          <w:sz w:val="22"/>
          <w:szCs w:val="22"/>
        </w:rPr>
      </w:pPr>
      <w:r w:rsidRPr="0093457C">
        <w:rPr>
          <w:sz w:val="22"/>
          <w:szCs w:val="22"/>
        </w:rPr>
        <w:t>Acronym</w:t>
      </w:r>
    </w:p>
    <w:p w:rsidR="00D214D7" w:rsidRPr="0093457C" w:rsidRDefault="00D214D7" w:rsidP="00D214D7">
      <w:pPr>
        <w:pStyle w:val="ListParagraph"/>
        <w:numPr>
          <w:ilvl w:val="0"/>
          <w:numId w:val="18"/>
        </w:numPr>
        <w:rPr>
          <w:sz w:val="22"/>
          <w:szCs w:val="22"/>
        </w:rPr>
      </w:pPr>
      <w:r w:rsidRPr="0093457C">
        <w:rPr>
          <w:sz w:val="22"/>
          <w:szCs w:val="22"/>
        </w:rPr>
        <w:t>Start Date</w:t>
      </w:r>
    </w:p>
    <w:p w:rsidR="00D214D7" w:rsidRPr="0093457C" w:rsidRDefault="00D214D7" w:rsidP="00D214D7">
      <w:pPr>
        <w:pStyle w:val="ListParagraph"/>
        <w:numPr>
          <w:ilvl w:val="0"/>
          <w:numId w:val="18"/>
        </w:numPr>
        <w:rPr>
          <w:sz w:val="22"/>
          <w:szCs w:val="22"/>
        </w:rPr>
      </w:pPr>
      <w:r w:rsidRPr="0093457C">
        <w:rPr>
          <w:sz w:val="22"/>
          <w:szCs w:val="22"/>
        </w:rPr>
        <w:t>End Date</w:t>
      </w:r>
    </w:p>
    <w:p w:rsidR="00D214D7" w:rsidRPr="0093457C" w:rsidRDefault="00D214D7" w:rsidP="00D214D7">
      <w:pPr>
        <w:pStyle w:val="ListParagraph"/>
        <w:numPr>
          <w:ilvl w:val="0"/>
          <w:numId w:val="18"/>
        </w:numPr>
        <w:rPr>
          <w:sz w:val="22"/>
          <w:szCs w:val="22"/>
        </w:rPr>
      </w:pPr>
      <w:r w:rsidRPr="0093457C">
        <w:rPr>
          <w:sz w:val="22"/>
          <w:szCs w:val="22"/>
        </w:rPr>
        <w:t>Meeting Explanation</w:t>
      </w:r>
    </w:p>
    <w:p w:rsidR="00D214D7" w:rsidRPr="0093457C" w:rsidRDefault="00D214D7" w:rsidP="00D214D7">
      <w:pPr>
        <w:pStyle w:val="ListParagraph"/>
        <w:numPr>
          <w:ilvl w:val="0"/>
          <w:numId w:val="18"/>
        </w:numPr>
        <w:rPr>
          <w:sz w:val="22"/>
          <w:szCs w:val="22"/>
        </w:rPr>
      </w:pPr>
      <w:r w:rsidRPr="0093457C">
        <w:rPr>
          <w:sz w:val="22"/>
          <w:szCs w:val="22"/>
        </w:rPr>
        <w:t>Meeting Format</w:t>
      </w:r>
    </w:p>
    <w:p w:rsidR="00D214D7" w:rsidRPr="0093457C" w:rsidRDefault="00D214D7" w:rsidP="00D214D7">
      <w:pPr>
        <w:pStyle w:val="ListParagraph"/>
        <w:numPr>
          <w:ilvl w:val="0"/>
          <w:numId w:val="18"/>
        </w:numPr>
        <w:rPr>
          <w:sz w:val="22"/>
          <w:szCs w:val="22"/>
        </w:rPr>
      </w:pPr>
      <w:r w:rsidRPr="0093457C">
        <w:rPr>
          <w:sz w:val="22"/>
          <w:szCs w:val="22"/>
        </w:rPr>
        <w:t>Meeting Type Code (e.g., Justification)</w:t>
      </w:r>
    </w:p>
    <w:p w:rsidR="00D214D7" w:rsidRPr="0093457C" w:rsidRDefault="00D214D7" w:rsidP="00D214D7">
      <w:pPr>
        <w:pStyle w:val="ListParagraph"/>
        <w:numPr>
          <w:ilvl w:val="0"/>
          <w:numId w:val="18"/>
        </w:numPr>
        <w:rPr>
          <w:sz w:val="22"/>
          <w:szCs w:val="22"/>
        </w:rPr>
      </w:pPr>
      <w:r w:rsidRPr="0093457C">
        <w:rPr>
          <w:sz w:val="22"/>
          <w:szCs w:val="22"/>
        </w:rPr>
        <w:t>Agenda Code</w:t>
      </w:r>
    </w:p>
    <w:p w:rsidR="00D214D7" w:rsidRPr="0093457C" w:rsidRDefault="00D214D7" w:rsidP="00D214D7">
      <w:pPr>
        <w:pStyle w:val="ListParagraph"/>
        <w:numPr>
          <w:ilvl w:val="0"/>
          <w:numId w:val="18"/>
        </w:numPr>
        <w:rPr>
          <w:sz w:val="22"/>
          <w:szCs w:val="22"/>
        </w:rPr>
      </w:pPr>
      <w:r w:rsidRPr="0093457C">
        <w:rPr>
          <w:sz w:val="22"/>
          <w:szCs w:val="22"/>
        </w:rPr>
        <w:t>Access Code</w:t>
      </w:r>
    </w:p>
    <w:p w:rsidR="00D214D7" w:rsidRPr="0093457C" w:rsidRDefault="00D214D7" w:rsidP="00D214D7">
      <w:pPr>
        <w:pStyle w:val="ListParagraph"/>
        <w:numPr>
          <w:ilvl w:val="0"/>
          <w:numId w:val="18"/>
        </w:numPr>
        <w:rPr>
          <w:sz w:val="22"/>
          <w:szCs w:val="22"/>
        </w:rPr>
      </w:pPr>
      <w:r w:rsidRPr="0093457C">
        <w:rPr>
          <w:sz w:val="22"/>
          <w:szCs w:val="22"/>
        </w:rPr>
        <w:t>Panel Name</w:t>
      </w:r>
    </w:p>
    <w:p w:rsidR="00D214D7" w:rsidRPr="0093457C" w:rsidRDefault="00D214D7" w:rsidP="00D214D7">
      <w:pPr>
        <w:pStyle w:val="ListParagraph"/>
        <w:numPr>
          <w:ilvl w:val="0"/>
          <w:numId w:val="18"/>
        </w:numPr>
        <w:rPr>
          <w:sz w:val="22"/>
          <w:szCs w:val="22"/>
        </w:rPr>
      </w:pPr>
      <w:r w:rsidRPr="0093457C">
        <w:rPr>
          <w:sz w:val="22"/>
          <w:szCs w:val="22"/>
        </w:rPr>
        <w:t>Selecting Meeting Location (City, State, and Zip)</w:t>
      </w:r>
    </w:p>
    <w:p w:rsidR="00D214D7" w:rsidRPr="0093457C" w:rsidRDefault="00D214D7" w:rsidP="00D214D7">
      <w:pPr>
        <w:pStyle w:val="ListParagraph"/>
        <w:numPr>
          <w:ilvl w:val="0"/>
          <w:numId w:val="18"/>
        </w:numPr>
        <w:rPr>
          <w:sz w:val="22"/>
          <w:szCs w:val="22"/>
        </w:rPr>
      </w:pPr>
      <w:r w:rsidRPr="0093457C">
        <w:rPr>
          <w:sz w:val="22"/>
          <w:szCs w:val="22"/>
        </w:rPr>
        <w:t>Administrative Expenses/Type and Amount (delineate expense information, lumped costs are not acceptable)</w:t>
      </w:r>
    </w:p>
    <w:p w:rsidR="00D214D7" w:rsidRPr="0093457C" w:rsidRDefault="00D214D7" w:rsidP="00D214D7">
      <w:pPr>
        <w:pStyle w:val="ListParagraph"/>
        <w:numPr>
          <w:ilvl w:val="0"/>
          <w:numId w:val="18"/>
        </w:numPr>
        <w:rPr>
          <w:sz w:val="22"/>
          <w:szCs w:val="22"/>
        </w:rPr>
      </w:pPr>
      <w:r w:rsidRPr="0093457C">
        <w:rPr>
          <w:sz w:val="22"/>
          <w:szCs w:val="22"/>
        </w:rPr>
        <w:t xml:space="preserve"> Type and Expense Amount)</w:t>
      </w:r>
    </w:p>
    <w:p w:rsidR="00D214D7" w:rsidRPr="0093457C" w:rsidRDefault="00D214D7" w:rsidP="00D214D7">
      <w:pPr>
        <w:pStyle w:val="ListParagraph"/>
        <w:numPr>
          <w:ilvl w:val="0"/>
          <w:numId w:val="18"/>
        </w:numPr>
        <w:rPr>
          <w:sz w:val="22"/>
          <w:szCs w:val="22"/>
        </w:rPr>
      </w:pPr>
      <w:r w:rsidRPr="0093457C">
        <w:rPr>
          <w:sz w:val="22"/>
          <w:szCs w:val="22"/>
        </w:rPr>
        <w:t>Expense Description and Type Code)</w:t>
      </w:r>
    </w:p>
    <w:p w:rsidR="00D214D7" w:rsidRPr="0093457C" w:rsidRDefault="00D214D7" w:rsidP="00D214D7">
      <w:pPr>
        <w:pStyle w:val="ListParagraph"/>
        <w:rPr>
          <w:sz w:val="22"/>
          <w:szCs w:val="22"/>
        </w:rPr>
      </w:pPr>
    </w:p>
    <w:p w:rsidR="00D214D7" w:rsidRPr="00FA5F5C" w:rsidRDefault="00D214D7" w:rsidP="00D214D7">
      <w:pPr>
        <w:rPr>
          <w:sz w:val="22"/>
          <w:szCs w:val="22"/>
        </w:rPr>
      </w:pPr>
      <w:r w:rsidRPr="0093457C">
        <w:rPr>
          <w:sz w:val="22"/>
          <w:szCs w:val="22"/>
        </w:rPr>
        <w:t xml:space="preserve">As described in the Efficient Spending Policy issued by Dr. Sally Rockey and Ms. Colleen Barros, OER staff is working diligently on behalf of the ICs to identify a central way to report the data that ICs and CSR enter into the Meeting Maintenance Module within </w:t>
      </w:r>
      <w:proofErr w:type="spellStart"/>
      <w:r w:rsidRPr="0093457C">
        <w:rPr>
          <w:sz w:val="22"/>
          <w:szCs w:val="22"/>
        </w:rPr>
        <w:t>eRA</w:t>
      </w:r>
      <w:proofErr w:type="spellEnd"/>
      <w:r w:rsidRPr="0093457C">
        <w:rPr>
          <w:sz w:val="22"/>
          <w:szCs w:val="22"/>
        </w:rPr>
        <w:t>.   Meanwhile, it is imperative the ICs/CSR enter the data into the system as described above.</w:t>
      </w:r>
    </w:p>
    <w:p w:rsidR="00D214D7" w:rsidRPr="00FA5F5C" w:rsidRDefault="00D214D7" w:rsidP="00D214D7">
      <w:pPr>
        <w:rPr>
          <w:sz w:val="22"/>
          <w:szCs w:val="22"/>
        </w:rPr>
      </w:pPr>
    </w:p>
    <w:p w:rsidR="00D214D7" w:rsidRPr="0093457C" w:rsidRDefault="00D214D7" w:rsidP="00D214D7">
      <w:pPr>
        <w:rPr>
          <w:sz w:val="22"/>
          <w:szCs w:val="22"/>
        </w:rPr>
      </w:pPr>
      <w:r w:rsidRPr="00FA5F5C">
        <w:rPr>
          <w:sz w:val="22"/>
          <w:szCs w:val="22"/>
        </w:rPr>
        <w:t xml:space="preserve">Questions regarding this instruction should be directed to </w:t>
      </w:r>
      <w:r w:rsidR="00FA5F5C" w:rsidRPr="00FA5F5C">
        <w:t>Anna Snouffer within the Office of Federa</w:t>
      </w:r>
      <w:r w:rsidR="00FA5F5C">
        <w:t>l Advisory Committee Policy,</w:t>
      </w:r>
      <w:r w:rsidR="00FA5F5C">
        <w:rPr>
          <w:color w:val="1F497D"/>
        </w:rPr>
        <w:t xml:space="preserve"> </w:t>
      </w:r>
      <w:hyperlink r:id="rId37" w:history="1">
        <w:r w:rsidR="00FA5F5C" w:rsidRPr="00B108B6">
          <w:rPr>
            <w:rStyle w:val="Hyperlink"/>
          </w:rPr>
          <w:t>Anna.Snouffer@nih.gov</w:t>
        </w:r>
      </w:hyperlink>
      <w:r w:rsidR="00FA5F5C">
        <w:rPr>
          <w:color w:val="1F497D"/>
        </w:rPr>
        <w:t xml:space="preserve">  </w:t>
      </w:r>
      <w:r w:rsidR="00FA5F5C" w:rsidRPr="00FA5F5C">
        <w:t>or</w:t>
      </w:r>
      <w:r w:rsidRPr="00FA5F5C">
        <w:rPr>
          <w:sz w:val="22"/>
          <w:szCs w:val="22"/>
        </w:rPr>
        <w:t xml:space="preserve"> </w:t>
      </w:r>
      <w:r w:rsidRPr="0093457C">
        <w:rPr>
          <w:sz w:val="22"/>
          <w:szCs w:val="22"/>
        </w:rPr>
        <w:t xml:space="preserve">Michelle G. Bulls, </w:t>
      </w:r>
      <w:hyperlink r:id="rId38" w:history="1">
        <w:r w:rsidRPr="0093457C">
          <w:rPr>
            <w:rStyle w:val="Hyperlink"/>
            <w:sz w:val="22"/>
            <w:szCs w:val="22"/>
          </w:rPr>
          <w:t>michelle.bulls@nih.gov</w:t>
        </w:r>
      </w:hyperlink>
      <w:r w:rsidR="00FA5F5C">
        <w:rPr>
          <w:sz w:val="22"/>
          <w:szCs w:val="22"/>
        </w:rPr>
        <w:t>.</w:t>
      </w:r>
    </w:p>
    <w:p w:rsidR="00D214D7" w:rsidRPr="0093457C" w:rsidRDefault="00D214D7" w:rsidP="00D214D7">
      <w:pPr>
        <w:rPr>
          <w:sz w:val="22"/>
          <w:szCs w:val="22"/>
        </w:rPr>
      </w:pPr>
    </w:p>
    <w:sectPr w:rsidR="00D214D7" w:rsidRPr="0093457C" w:rsidSect="00724FF4">
      <w:headerReference w:type="default" r:id="rId39"/>
      <w:footnotePr>
        <w:numRestart w:val="eachPage"/>
      </w:footnotePr>
      <w:type w:val="continuous"/>
      <w:pgSz w:w="12240" w:h="15840" w:code="1"/>
      <w:pgMar w:top="576" w:right="1008" w:bottom="576" w:left="1008" w:header="36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759" w:rsidRDefault="00AF7759">
      <w:r>
        <w:separator/>
      </w:r>
    </w:p>
  </w:endnote>
  <w:endnote w:type="continuationSeparator" w:id="0">
    <w:p w:rsidR="00AF7759" w:rsidRDefault="00AF77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35979"/>
      <w:docPartObj>
        <w:docPartGallery w:val="Page Numbers (Bottom of Page)"/>
        <w:docPartUnique/>
      </w:docPartObj>
    </w:sdtPr>
    <w:sdtContent>
      <w:p w:rsidR="00724FF4" w:rsidRDefault="007E7BBD">
        <w:pPr>
          <w:pStyle w:val="Footer"/>
          <w:jc w:val="center"/>
        </w:pPr>
        <w:fldSimple w:instr=" PAGE   \* MERGEFORMAT ">
          <w:r w:rsidR="006951A5">
            <w:rPr>
              <w:noProof/>
            </w:rPr>
            <w:t>11</w:t>
          </w:r>
        </w:fldSimple>
      </w:p>
    </w:sdtContent>
  </w:sdt>
  <w:p w:rsidR="00724FF4" w:rsidRDefault="00724F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35980"/>
      <w:docPartObj>
        <w:docPartGallery w:val="Page Numbers (Bottom of Page)"/>
        <w:docPartUnique/>
      </w:docPartObj>
    </w:sdtPr>
    <w:sdtContent>
      <w:p w:rsidR="00724FF4" w:rsidRDefault="007E7BBD">
        <w:pPr>
          <w:pStyle w:val="Footer"/>
          <w:jc w:val="center"/>
        </w:pPr>
        <w:fldSimple w:instr=" PAGE   \* MERGEFORMAT ">
          <w:r w:rsidR="00724FF4">
            <w:rPr>
              <w:noProof/>
            </w:rPr>
            <w:t>1</w:t>
          </w:r>
        </w:fldSimple>
      </w:p>
    </w:sdtContent>
  </w:sdt>
  <w:p w:rsidR="00724FF4" w:rsidRDefault="00724F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759" w:rsidRDefault="00AF7759">
      <w:r>
        <w:separator/>
      </w:r>
    </w:p>
  </w:footnote>
  <w:footnote w:type="continuationSeparator" w:id="0">
    <w:p w:rsidR="00AF7759" w:rsidRDefault="00AF7759">
      <w:r>
        <w:continuationSeparator/>
      </w:r>
    </w:p>
  </w:footnote>
  <w:footnote w:id="1">
    <w:p w:rsidR="00724FF4" w:rsidRPr="00382BD9" w:rsidRDefault="00724FF4" w:rsidP="00D61F89">
      <w:pPr>
        <w:pStyle w:val="NormalWeb"/>
        <w:spacing w:after="0"/>
        <w:ind w:left="27"/>
        <w:rPr>
          <w:sz w:val="20"/>
          <w:szCs w:val="20"/>
        </w:rPr>
      </w:pPr>
      <w:r w:rsidRPr="00382BD9">
        <w:rPr>
          <w:rStyle w:val="FootnoteReference"/>
          <w:sz w:val="20"/>
          <w:szCs w:val="20"/>
        </w:rPr>
        <w:footnoteRef/>
      </w:r>
      <w:r w:rsidRPr="00382BD9">
        <w:rPr>
          <w:sz w:val="20"/>
          <w:szCs w:val="20"/>
        </w:rPr>
        <w:t xml:space="preserve"> </w:t>
      </w:r>
      <w:r w:rsidRPr="00382BD9">
        <w:rPr>
          <w:b/>
          <w:sz w:val="20"/>
          <w:szCs w:val="20"/>
        </w:rPr>
        <w:t>Necessary Expense Rule</w:t>
      </w:r>
      <w:r w:rsidRPr="00382BD9">
        <w:rPr>
          <w:sz w:val="20"/>
          <w:szCs w:val="20"/>
        </w:rPr>
        <w:t xml:space="preserve">:  See GAO's </w:t>
      </w:r>
      <w:hyperlink r:id="rId1" w:history="1">
        <w:r w:rsidRPr="00382BD9">
          <w:rPr>
            <w:rStyle w:val="Hyperlink"/>
            <w:sz w:val="20"/>
            <w:szCs w:val="20"/>
          </w:rPr>
          <w:t>Principles of Federal Appropriations Law, 4-19</w:t>
        </w:r>
      </w:hyperlink>
      <w:r w:rsidRPr="00382BD9">
        <w:rPr>
          <w:sz w:val="20"/>
          <w:szCs w:val="20"/>
        </w:rPr>
        <w:t>, for additional information.  Additionally, when applying the necessary expense rule, an expenditure may be justified after meeting a three-part test:</w:t>
      </w:r>
    </w:p>
    <w:p w:rsidR="00724FF4" w:rsidRPr="00382BD9" w:rsidRDefault="00724FF4" w:rsidP="00D61F89">
      <w:pPr>
        <w:pStyle w:val="ListParagraph"/>
        <w:numPr>
          <w:ilvl w:val="0"/>
          <w:numId w:val="1"/>
        </w:numPr>
        <w:ind w:right="144"/>
        <w:rPr>
          <w:sz w:val="20"/>
        </w:rPr>
      </w:pPr>
      <w:r w:rsidRPr="00382BD9">
        <w:rPr>
          <w:sz w:val="20"/>
        </w:rPr>
        <w:t xml:space="preserve">The expenditure must bear a logical relationship to the appropriation sought to be charged. In other words, it must make a direct contribution to carrying out either a specific appropriation or an authorized agency function for which more general appropriations are available. </w:t>
      </w:r>
    </w:p>
    <w:p w:rsidR="00724FF4" w:rsidRPr="00382BD9" w:rsidRDefault="00724FF4" w:rsidP="00D61F89">
      <w:pPr>
        <w:numPr>
          <w:ilvl w:val="0"/>
          <w:numId w:val="1"/>
        </w:numPr>
        <w:ind w:right="144"/>
        <w:rPr>
          <w:sz w:val="20"/>
        </w:rPr>
      </w:pPr>
      <w:r w:rsidRPr="00382BD9">
        <w:rPr>
          <w:sz w:val="20"/>
        </w:rPr>
        <w:t xml:space="preserve">The expenditure must not be prohibited by law. </w:t>
      </w:r>
    </w:p>
    <w:p w:rsidR="00724FF4" w:rsidRPr="00382BD9" w:rsidRDefault="00724FF4" w:rsidP="005D78E0">
      <w:pPr>
        <w:numPr>
          <w:ilvl w:val="0"/>
          <w:numId w:val="1"/>
        </w:numPr>
        <w:ind w:right="144"/>
        <w:rPr>
          <w:sz w:val="20"/>
        </w:rPr>
      </w:pPr>
      <w:r w:rsidRPr="00382BD9">
        <w:rPr>
          <w:sz w:val="20"/>
        </w:rPr>
        <w:t>The expenditure must not be otherwise provided for, that is, it must not be an item that falls within the scope of some other appropriation or statutory funding scheme.</w:t>
      </w:r>
    </w:p>
  </w:footnote>
  <w:footnote w:id="2">
    <w:p w:rsidR="00724FF4" w:rsidRDefault="00724FF4">
      <w:pPr>
        <w:pStyle w:val="FootnoteText"/>
      </w:pPr>
      <w:r>
        <w:rPr>
          <w:rStyle w:val="FootnoteReference"/>
        </w:rPr>
        <w:footnoteRef/>
      </w:r>
      <w:r>
        <w:t xml:space="preserve"> Excluding the government FTE salary and benefits costs associated with staff planning, supporting, or attending the conference or acquiring the meeting space.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FF4" w:rsidRPr="0058191C" w:rsidRDefault="00724FF4" w:rsidP="00A35258">
    <w:pPr>
      <w:pStyle w:val="Header"/>
      <w:jc w:val="right"/>
      <w:rPr>
        <w:rFonts w:ascii="Tahoma" w:hAnsi="Tahoma" w:cs="Tahoma"/>
        <w:b/>
        <w:sz w:val="20"/>
      </w:rPr>
    </w:pPr>
    <w:r w:rsidRPr="00103282">
      <w:rPr>
        <w:rFonts w:ascii="Tahoma" w:hAnsi="Tahoma" w:cs="Tahoma"/>
        <w:b/>
      </w:rPr>
      <w:t>Conference/Meeting Approval Form</w:t>
    </w:r>
    <w:r>
      <w:rPr>
        <w:rFonts w:ascii="Tahoma" w:hAnsi="Tahoma" w:cs="Tahoma"/>
        <w:b/>
      </w:rPr>
      <w:t xml:space="preserve">                             </w:t>
    </w:r>
    <w:r>
      <w:rPr>
        <w:rFonts w:ascii="Tahoma" w:hAnsi="Tahoma" w:cs="Tahoma"/>
        <w:b/>
        <w:sz w:val="20"/>
      </w:rPr>
      <w:t>Attachment 1</w:t>
    </w:r>
  </w:p>
  <w:p w:rsidR="00724FF4" w:rsidRDefault="00724F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4D7" w:rsidRPr="0058191C" w:rsidRDefault="00D214D7" w:rsidP="00A35258">
    <w:pPr>
      <w:pStyle w:val="Header"/>
      <w:jc w:val="right"/>
      <w:rPr>
        <w:rFonts w:ascii="Tahoma" w:hAnsi="Tahoma" w:cs="Tahoma"/>
        <w:b/>
        <w:sz w:val="20"/>
      </w:rPr>
    </w:pPr>
    <w:r>
      <w:rPr>
        <w:rFonts w:ascii="Tahoma" w:hAnsi="Tahoma" w:cs="Tahoma"/>
        <w:b/>
      </w:rPr>
      <w:t xml:space="preserve">                             </w:t>
    </w:r>
    <w:r>
      <w:rPr>
        <w:rFonts w:ascii="Tahoma" w:hAnsi="Tahoma" w:cs="Tahoma"/>
        <w:b/>
        <w:sz w:val="20"/>
      </w:rPr>
      <w:t>Attachment 2</w:t>
    </w:r>
  </w:p>
  <w:p w:rsidR="00D214D7" w:rsidRDefault="00D214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4785"/>
    <w:multiLevelType w:val="hybridMultilevel"/>
    <w:tmpl w:val="DDB0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C6199"/>
    <w:multiLevelType w:val="hybridMultilevel"/>
    <w:tmpl w:val="08AC312E"/>
    <w:lvl w:ilvl="0" w:tplc="88C44F64">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F61794"/>
    <w:multiLevelType w:val="multilevel"/>
    <w:tmpl w:val="A3BA869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nsid w:val="1B6473D7"/>
    <w:multiLevelType w:val="hybridMultilevel"/>
    <w:tmpl w:val="BAF852B6"/>
    <w:lvl w:ilvl="0" w:tplc="04090015">
      <w:start w:val="1"/>
      <w:numFmt w:val="upperLetter"/>
      <w:lvlText w:val="%1."/>
      <w:lvlJc w:val="left"/>
      <w:pPr>
        <w:ind w:left="720" w:hanging="360"/>
      </w:pPr>
      <w:rPr>
        <w:rFonts w:hint="default"/>
      </w:rPr>
    </w:lvl>
    <w:lvl w:ilvl="1" w:tplc="88C44F64">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3F13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A7D467D"/>
    <w:multiLevelType w:val="hybridMultilevel"/>
    <w:tmpl w:val="D14A79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F55D09"/>
    <w:multiLevelType w:val="hybridMultilevel"/>
    <w:tmpl w:val="8F6A415A"/>
    <w:lvl w:ilvl="0" w:tplc="09AC87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001225"/>
    <w:multiLevelType w:val="hybridMultilevel"/>
    <w:tmpl w:val="2F7E568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487FFE"/>
    <w:multiLevelType w:val="hybridMultilevel"/>
    <w:tmpl w:val="EF18FF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6766AD7"/>
    <w:multiLevelType w:val="hybridMultilevel"/>
    <w:tmpl w:val="048828EA"/>
    <w:lvl w:ilvl="0" w:tplc="FB70A80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F94DAF"/>
    <w:multiLevelType w:val="multilevel"/>
    <w:tmpl w:val="DC94A106"/>
    <w:lvl w:ilvl="0">
      <w:start w:val="1"/>
      <w:numFmt w:val="upperRoman"/>
      <w:pStyle w:val="Heading1"/>
      <w:lvlText w:val="%1."/>
      <w:lvlJc w:val="left"/>
      <w:pPr>
        <w:ind w:left="0" w:firstLine="0"/>
      </w:pPr>
      <w:rPr>
        <w:rFonts w:hint="default"/>
        <w:u w:val="none"/>
      </w:rPr>
    </w:lvl>
    <w:lvl w:ilvl="1">
      <w:start w:val="1"/>
      <w:numFmt w:val="upperLetter"/>
      <w:pStyle w:val="Heading2"/>
      <w:lvlText w:val="%2."/>
      <w:lvlJc w:val="left"/>
      <w:pPr>
        <w:ind w:left="720" w:firstLine="0"/>
      </w:pPr>
      <w:rPr>
        <w:rFonts w:hint="default"/>
        <w:color w:val="auto"/>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1">
    <w:nsid w:val="4BAC39FB"/>
    <w:multiLevelType w:val="hybridMultilevel"/>
    <w:tmpl w:val="369C8970"/>
    <w:lvl w:ilvl="0" w:tplc="3C1A2D10">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C45774"/>
    <w:multiLevelType w:val="hybridMultilevel"/>
    <w:tmpl w:val="0EF07F60"/>
    <w:lvl w:ilvl="0" w:tplc="C3D66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383748"/>
    <w:multiLevelType w:val="hybridMultilevel"/>
    <w:tmpl w:val="2C1211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0E32E09"/>
    <w:multiLevelType w:val="hybridMultilevel"/>
    <w:tmpl w:val="93220836"/>
    <w:lvl w:ilvl="0" w:tplc="5E88E3F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CF5D21"/>
    <w:multiLevelType w:val="hybridMultilevel"/>
    <w:tmpl w:val="F83A86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2FB4A2A"/>
    <w:multiLevelType w:val="multilevel"/>
    <w:tmpl w:val="04090027"/>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nsid w:val="732534F2"/>
    <w:multiLevelType w:val="hybridMultilevel"/>
    <w:tmpl w:val="33F6E7A0"/>
    <w:lvl w:ilvl="0" w:tplc="88C44F64">
      <w:numFmt w:val="bullet"/>
      <w:lvlText w:val="•"/>
      <w:lvlJc w:val="left"/>
      <w:pPr>
        <w:ind w:left="180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6671492"/>
    <w:multiLevelType w:val="hybridMultilevel"/>
    <w:tmpl w:val="F65E2152"/>
    <w:lvl w:ilvl="0" w:tplc="BA18BE22">
      <w:start w:val="1"/>
      <w:numFmt w:val="lowerLetter"/>
      <w:lvlText w:val="%1."/>
      <w:lvlJc w:val="left"/>
      <w:pPr>
        <w:ind w:left="396" w:hanging="360"/>
      </w:pPr>
      <w:rPr>
        <w:rFonts w:asciiTheme="minorHAnsi" w:eastAsia="Times New Roman" w:hAnsiTheme="minorHAnsi" w:cs="Arial"/>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9">
    <w:nsid w:val="76877C3C"/>
    <w:multiLevelType w:val="hybridMultilevel"/>
    <w:tmpl w:val="A75AA588"/>
    <w:lvl w:ilvl="0" w:tplc="04090015">
      <w:start w:val="1"/>
      <w:numFmt w:val="upperLetter"/>
      <w:lvlText w:val="%1."/>
      <w:lvlJc w:val="left"/>
      <w:pPr>
        <w:ind w:left="720" w:hanging="360"/>
      </w:pPr>
      <w:rPr>
        <w:rFonts w:hint="default"/>
      </w:rPr>
    </w:lvl>
    <w:lvl w:ilvl="1" w:tplc="88C44F64">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8A79AE"/>
    <w:multiLevelType w:val="hybridMultilevel"/>
    <w:tmpl w:val="FD149BD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20"/>
  </w:num>
  <w:num w:numId="3">
    <w:abstractNumId w:val="8"/>
  </w:num>
  <w:num w:numId="4">
    <w:abstractNumId w:val="14"/>
  </w:num>
  <w:num w:numId="5">
    <w:abstractNumId w:val="13"/>
  </w:num>
  <w:num w:numId="6">
    <w:abstractNumId w:val="10"/>
  </w:num>
  <w:num w:numId="7">
    <w:abstractNumId w:val="16"/>
  </w:num>
  <w:num w:numId="8">
    <w:abstractNumId w:val="6"/>
  </w:num>
  <w:num w:numId="9">
    <w:abstractNumId w:val="17"/>
  </w:num>
  <w:num w:numId="10">
    <w:abstractNumId w:val="12"/>
  </w:num>
  <w:num w:numId="11">
    <w:abstractNumId w:val="1"/>
  </w:num>
  <w:num w:numId="12">
    <w:abstractNumId w:val="7"/>
  </w:num>
  <w:num w:numId="13">
    <w:abstractNumId w:val="3"/>
  </w:num>
  <w:num w:numId="14">
    <w:abstractNumId w:val="2"/>
  </w:num>
  <w:num w:numId="15">
    <w:abstractNumId w:val="0"/>
  </w:num>
  <w:num w:numId="16">
    <w:abstractNumId w:val="19"/>
  </w:num>
  <w:num w:numId="17">
    <w:abstractNumId w:val="11"/>
  </w:num>
  <w:num w:numId="18">
    <w:abstractNumId w:val="5"/>
  </w:num>
  <w:num w:numId="19">
    <w:abstractNumId w:val="9"/>
  </w:num>
  <w:num w:numId="20">
    <w:abstractNumId w:val="4"/>
  </w:num>
  <w:num w:numId="21">
    <w:abstractNumId w:val="1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23553"/>
  </w:hdrShapeDefaults>
  <w:footnotePr>
    <w:footnote w:id="-1"/>
    <w:footnote w:id="0"/>
  </w:footnotePr>
  <w:endnotePr>
    <w:endnote w:id="-1"/>
    <w:endnote w:id="0"/>
  </w:endnotePr>
  <w:compat/>
  <w:rsids>
    <w:rsidRoot w:val="00890916"/>
    <w:rsid w:val="00010391"/>
    <w:rsid w:val="000105E2"/>
    <w:rsid w:val="00015787"/>
    <w:rsid w:val="00024DFC"/>
    <w:rsid w:val="00030CB2"/>
    <w:rsid w:val="00033730"/>
    <w:rsid w:val="00034B61"/>
    <w:rsid w:val="000366DD"/>
    <w:rsid w:val="00037E15"/>
    <w:rsid w:val="0004065E"/>
    <w:rsid w:val="00041D5F"/>
    <w:rsid w:val="00046ABD"/>
    <w:rsid w:val="00053745"/>
    <w:rsid w:val="00053DA3"/>
    <w:rsid w:val="00061CF2"/>
    <w:rsid w:val="00062690"/>
    <w:rsid w:val="00065173"/>
    <w:rsid w:val="00065179"/>
    <w:rsid w:val="00076DE9"/>
    <w:rsid w:val="00077F4A"/>
    <w:rsid w:val="00083069"/>
    <w:rsid w:val="00083952"/>
    <w:rsid w:val="0008547B"/>
    <w:rsid w:val="0009552C"/>
    <w:rsid w:val="000957B3"/>
    <w:rsid w:val="000A2067"/>
    <w:rsid w:val="000A4263"/>
    <w:rsid w:val="000A79F1"/>
    <w:rsid w:val="000B12F7"/>
    <w:rsid w:val="000B4269"/>
    <w:rsid w:val="000B7841"/>
    <w:rsid w:val="000C29D6"/>
    <w:rsid w:val="000C4BBB"/>
    <w:rsid w:val="000C50E4"/>
    <w:rsid w:val="000D01D7"/>
    <w:rsid w:val="000D20AC"/>
    <w:rsid w:val="000D2ABE"/>
    <w:rsid w:val="000E7AD7"/>
    <w:rsid w:val="000E7B08"/>
    <w:rsid w:val="000F666D"/>
    <w:rsid w:val="00102F2A"/>
    <w:rsid w:val="00105094"/>
    <w:rsid w:val="00106452"/>
    <w:rsid w:val="0011048A"/>
    <w:rsid w:val="001130B0"/>
    <w:rsid w:val="0011380B"/>
    <w:rsid w:val="00115795"/>
    <w:rsid w:val="00115F26"/>
    <w:rsid w:val="00116A8D"/>
    <w:rsid w:val="00117F33"/>
    <w:rsid w:val="00122665"/>
    <w:rsid w:val="0013157D"/>
    <w:rsid w:val="00132D1A"/>
    <w:rsid w:val="001355FF"/>
    <w:rsid w:val="001377E2"/>
    <w:rsid w:val="00137C73"/>
    <w:rsid w:val="00143512"/>
    <w:rsid w:val="001469F7"/>
    <w:rsid w:val="0015026E"/>
    <w:rsid w:val="00150FCE"/>
    <w:rsid w:val="00151AE3"/>
    <w:rsid w:val="001543D3"/>
    <w:rsid w:val="001560BD"/>
    <w:rsid w:val="001651BC"/>
    <w:rsid w:val="001742E5"/>
    <w:rsid w:val="00180E4E"/>
    <w:rsid w:val="0018551B"/>
    <w:rsid w:val="0019014E"/>
    <w:rsid w:val="001901E3"/>
    <w:rsid w:val="0019370D"/>
    <w:rsid w:val="00194E83"/>
    <w:rsid w:val="001A00CF"/>
    <w:rsid w:val="001A54A6"/>
    <w:rsid w:val="001A6CCF"/>
    <w:rsid w:val="001B6198"/>
    <w:rsid w:val="001B7C75"/>
    <w:rsid w:val="001C14C7"/>
    <w:rsid w:val="001C296C"/>
    <w:rsid w:val="001C4376"/>
    <w:rsid w:val="001C4BBF"/>
    <w:rsid w:val="001C7F06"/>
    <w:rsid w:val="001D7DB2"/>
    <w:rsid w:val="001E2E00"/>
    <w:rsid w:val="001F2FC7"/>
    <w:rsid w:val="001F3D2F"/>
    <w:rsid w:val="002015AF"/>
    <w:rsid w:val="0020187B"/>
    <w:rsid w:val="00220BEC"/>
    <w:rsid w:val="00225A3F"/>
    <w:rsid w:val="00232227"/>
    <w:rsid w:val="002325AC"/>
    <w:rsid w:val="00234998"/>
    <w:rsid w:val="00243750"/>
    <w:rsid w:val="002454CA"/>
    <w:rsid w:val="00246908"/>
    <w:rsid w:val="00265BE2"/>
    <w:rsid w:val="00265D08"/>
    <w:rsid w:val="002720BE"/>
    <w:rsid w:val="002728EE"/>
    <w:rsid w:val="0028186A"/>
    <w:rsid w:val="00282F6E"/>
    <w:rsid w:val="00284E8A"/>
    <w:rsid w:val="002919B2"/>
    <w:rsid w:val="002A17BF"/>
    <w:rsid w:val="002A36C5"/>
    <w:rsid w:val="002B1C8C"/>
    <w:rsid w:val="002B7EE3"/>
    <w:rsid w:val="002C3EAC"/>
    <w:rsid w:val="002C572B"/>
    <w:rsid w:val="002C7EB7"/>
    <w:rsid w:val="002D243A"/>
    <w:rsid w:val="002D45AA"/>
    <w:rsid w:val="002D4833"/>
    <w:rsid w:val="002D7E8D"/>
    <w:rsid w:val="002F24F7"/>
    <w:rsid w:val="002F4D21"/>
    <w:rsid w:val="002F5605"/>
    <w:rsid w:val="002F6459"/>
    <w:rsid w:val="00300013"/>
    <w:rsid w:val="00300C34"/>
    <w:rsid w:val="0030408F"/>
    <w:rsid w:val="00306D04"/>
    <w:rsid w:val="003071CB"/>
    <w:rsid w:val="00307DD3"/>
    <w:rsid w:val="00316C91"/>
    <w:rsid w:val="00334CF1"/>
    <w:rsid w:val="003477C6"/>
    <w:rsid w:val="00356329"/>
    <w:rsid w:val="003615F5"/>
    <w:rsid w:val="00362C91"/>
    <w:rsid w:val="00364313"/>
    <w:rsid w:val="00364762"/>
    <w:rsid w:val="00365837"/>
    <w:rsid w:val="00367FDA"/>
    <w:rsid w:val="00372BFF"/>
    <w:rsid w:val="00373692"/>
    <w:rsid w:val="003823EF"/>
    <w:rsid w:val="00382BD9"/>
    <w:rsid w:val="00387F86"/>
    <w:rsid w:val="003951B2"/>
    <w:rsid w:val="003977D3"/>
    <w:rsid w:val="00397E9F"/>
    <w:rsid w:val="003A135D"/>
    <w:rsid w:val="003A634A"/>
    <w:rsid w:val="003A6799"/>
    <w:rsid w:val="003A7EB2"/>
    <w:rsid w:val="003B06EE"/>
    <w:rsid w:val="003B3188"/>
    <w:rsid w:val="003C3F34"/>
    <w:rsid w:val="003C484D"/>
    <w:rsid w:val="003C5873"/>
    <w:rsid w:val="003C7608"/>
    <w:rsid w:val="003D097C"/>
    <w:rsid w:val="003D1089"/>
    <w:rsid w:val="003D2430"/>
    <w:rsid w:val="003D4D32"/>
    <w:rsid w:val="003D56F7"/>
    <w:rsid w:val="003D5AC9"/>
    <w:rsid w:val="003D7668"/>
    <w:rsid w:val="003E336B"/>
    <w:rsid w:val="003E33CD"/>
    <w:rsid w:val="003E441A"/>
    <w:rsid w:val="003F2463"/>
    <w:rsid w:val="003F4A62"/>
    <w:rsid w:val="003F4B83"/>
    <w:rsid w:val="0040114A"/>
    <w:rsid w:val="0040419F"/>
    <w:rsid w:val="00405A97"/>
    <w:rsid w:val="00422C5E"/>
    <w:rsid w:val="00423C56"/>
    <w:rsid w:val="004252C3"/>
    <w:rsid w:val="00425FE4"/>
    <w:rsid w:val="00431C5C"/>
    <w:rsid w:val="004413F8"/>
    <w:rsid w:val="00442F2A"/>
    <w:rsid w:val="00445223"/>
    <w:rsid w:val="004637B0"/>
    <w:rsid w:val="004644B3"/>
    <w:rsid w:val="00465524"/>
    <w:rsid w:val="004731A5"/>
    <w:rsid w:val="00473CCE"/>
    <w:rsid w:val="00495FD4"/>
    <w:rsid w:val="004966F0"/>
    <w:rsid w:val="004A3FC9"/>
    <w:rsid w:val="004A614E"/>
    <w:rsid w:val="004B1CB9"/>
    <w:rsid w:val="004B6FBD"/>
    <w:rsid w:val="004D1B1E"/>
    <w:rsid w:val="004D1BB4"/>
    <w:rsid w:val="004D52D6"/>
    <w:rsid w:val="004D745F"/>
    <w:rsid w:val="004E3764"/>
    <w:rsid w:val="004F11D9"/>
    <w:rsid w:val="004F3FD1"/>
    <w:rsid w:val="005049A5"/>
    <w:rsid w:val="00506CB7"/>
    <w:rsid w:val="00506E17"/>
    <w:rsid w:val="005121CD"/>
    <w:rsid w:val="0051286E"/>
    <w:rsid w:val="00517B19"/>
    <w:rsid w:val="00517CFE"/>
    <w:rsid w:val="00520F55"/>
    <w:rsid w:val="00521268"/>
    <w:rsid w:val="00522FE9"/>
    <w:rsid w:val="00532F06"/>
    <w:rsid w:val="00533329"/>
    <w:rsid w:val="00541C69"/>
    <w:rsid w:val="00544C13"/>
    <w:rsid w:val="00561FC1"/>
    <w:rsid w:val="00563027"/>
    <w:rsid w:val="00565DBA"/>
    <w:rsid w:val="00572BA7"/>
    <w:rsid w:val="00573CA7"/>
    <w:rsid w:val="00581610"/>
    <w:rsid w:val="00582E89"/>
    <w:rsid w:val="00592033"/>
    <w:rsid w:val="005940E2"/>
    <w:rsid w:val="00595168"/>
    <w:rsid w:val="00597314"/>
    <w:rsid w:val="005A204F"/>
    <w:rsid w:val="005A33D7"/>
    <w:rsid w:val="005A3E08"/>
    <w:rsid w:val="005A3E58"/>
    <w:rsid w:val="005A6002"/>
    <w:rsid w:val="005A7526"/>
    <w:rsid w:val="005B4B46"/>
    <w:rsid w:val="005C06AA"/>
    <w:rsid w:val="005C4CFA"/>
    <w:rsid w:val="005C7EB6"/>
    <w:rsid w:val="005D3DD6"/>
    <w:rsid w:val="005D4CC0"/>
    <w:rsid w:val="005D554F"/>
    <w:rsid w:val="005D78E0"/>
    <w:rsid w:val="005E42B2"/>
    <w:rsid w:val="005E6DB4"/>
    <w:rsid w:val="005F7E17"/>
    <w:rsid w:val="00602B71"/>
    <w:rsid w:val="00605FC5"/>
    <w:rsid w:val="00606EB6"/>
    <w:rsid w:val="00607C16"/>
    <w:rsid w:val="0061470D"/>
    <w:rsid w:val="00621D57"/>
    <w:rsid w:val="00622788"/>
    <w:rsid w:val="00623376"/>
    <w:rsid w:val="006245F7"/>
    <w:rsid w:val="006312E0"/>
    <w:rsid w:val="0063199C"/>
    <w:rsid w:val="00635360"/>
    <w:rsid w:val="0065488B"/>
    <w:rsid w:val="00662DA7"/>
    <w:rsid w:val="0066480E"/>
    <w:rsid w:val="006669B3"/>
    <w:rsid w:val="00671394"/>
    <w:rsid w:val="00671401"/>
    <w:rsid w:val="00671C70"/>
    <w:rsid w:val="00673714"/>
    <w:rsid w:val="006752C9"/>
    <w:rsid w:val="006756FF"/>
    <w:rsid w:val="00687969"/>
    <w:rsid w:val="006951A5"/>
    <w:rsid w:val="006964DF"/>
    <w:rsid w:val="006A03BF"/>
    <w:rsid w:val="006A26F6"/>
    <w:rsid w:val="006A5DAB"/>
    <w:rsid w:val="006B25DA"/>
    <w:rsid w:val="006B2FFF"/>
    <w:rsid w:val="006B386C"/>
    <w:rsid w:val="006B3F13"/>
    <w:rsid w:val="006B5930"/>
    <w:rsid w:val="006C27EA"/>
    <w:rsid w:val="006C4A96"/>
    <w:rsid w:val="006C72D8"/>
    <w:rsid w:val="006D1528"/>
    <w:rsid w:val="006E0D17"/>
    <w:rsid w:val="006F0AC6"/>
    <w:rsid w:val="006F59E0"/>
    <w:rsid w:val="00700408"/>
    <w:rsid w:val="00703AAE"/>
    <w:rsid w:val="007125C4"/>
    <w:rsid w:val="00712CC9"/>
    <w:rsid w:val="00724341"/>
    <w:rsid w:val="00724FF4"/>
    <w:rsid w:val="007308C9"/>
    <w:rsid w:val="0073420C"/>
    <w:rsid w:val="00735567"/>
    <w:rsid w:val="0073583F"/>
    <w:rsid w:val="00750154"/>
    <w:rsid w:val="007512D3"/>
    <w:rsid w:val="007518C2"/>
    <w:rsid w:val="00755611"/>
    <w:rsid w:val="00757675"/>
    <w:rsid w:val="007600B3"/>
    <w:rsid w:val="007608AC"/>
    <w:rsid w:val="00761666"/>
    <w:rsid w:val="00770786"/>
    <w:rsid w:val="00777316"/>
    <w:rsid w:val="007838E4"/>
    <w:rsid w:val="00794297"/>
    <w:rsid w:val="007A4D67"/>
    <w:rsid w:val="007A7813"/>
    <w:rsid w:val="007B6C85"/>
    <w:rsid w:val="007C17F8"/>
    <w:rsid w:val="007D1E83"/>
    <w:rsid w:val="007D3891"/>
    <w:rsid w:val="007D4DC1"/>
    <w:rsid w:val="007E3558"/>
    <w:rsid w:val="007E7BBD"/>
    <w:rsid w:val="007F136A"/>
    <w:rsid w:val="00801557"/>
    <w:rsid w:val="0080292A"/>
    <w:rsid w:val="0080525B"/>
    <w:rsid w:val="00810E36"/>
    <w:rsid w:val="00811922"/>
    <w:rsid w:val="00812646"/>
    <w:rsid w:val="00814728"/>
    <w:rsid w:val="008247A0"/>
    <w:rsid w:val="00824C09"/>
    <w:rsid w:val="00825807"/>
    <w:rsid w:val="00837385"/>
    <w:rsid w:val="008430A2"/>
    <w:rsid w:val="0084633B"/>
    <w:rsid w:val="00850866"/>
    <w:rsid w:val="00853650"/>
    <w:rsid w:val="008602B6"/>
    <w:rsid w:val="00861B84"/>
    <w:rsid w:val="0086253C"/>
    <w:rsid w:val="00871ED8"/>
    <w:rsid w:val="0087271E"/>
    <w:rsid w:val="00874AAE"/>
    <w:rsid w:val="008751A8"/>
    <w:rsid w:val="0087763C"/>
    <w:rsid w:val="0088289A"/>
    <w:rsid w:val="00884414"/>
    <w:rsid w:val="00890352"/>
    <w:rsid w:val="00890916"/>
    <w:rsid w:val="00892E81"/>
    <w:rsid w:val="008934E4"/>
    <w:rsid w:val="008A059E"/>
    <w:rsid w:val="008A0E49"/>
    <w:rsid w:val="008A18BB"/>
    <w:rsid w:val="008A3D56"/>
    <w:rsid w:val="008B04F9"/>
    <w:rsid w:val="008B0DAF"/>
    <w:rsid w:val="008B126E"/>
    <w:rsid w:val="008C0023"/>
    <w:rsid w:val="008C0479"/>
    <w:rsid w:val="008C68A9"/>
    <w:rsid w:val="008D02C0"/>
    <w:rsid w:val="008D1611"/>
    <w:rsid w:val="008D3CF7"/>
    <w:rsid w:val="008D64E2"/>
    <w:rsid w:val="008D750B"/>
    <w:rsid w:val="008E3B5E"/>
    <w:rsid w:val="008E5B7C"/>
    <w:rsid w:val="008E5D50"/>
    <w:rsid w:val="008E7FCD"/>
    <w:rsid w:val="008F0C43"/>
    <w:rsid w:val="008F1A81"/>
    <w:rsid w:val="008F340D"/>
    <w:rsid w:val="008F3641"/>
    <w:rsid w:val="008F70A8"/>
    <w:rsid w:val="008F754D"/>
    <w:rsid w:val="0090381E"/>
    <w:rsid w:val="00912A57"/>
    <w:rsid w:val="00915D61"/>
    <w:rsid w:val="00916E96"/>
    <w:rsid w:val="00916EEB"/>
    <w:rsid w:val="00920565"/>
    <w:rsid w:val="00925997"/>
    <w:rsid w:val="00935397"/>
    <w:rsid w:val="00943C93"/>
    <w:rsid w:val="009501C5"/>
    <w:rsid w:val="00957E18"/>
    <w:rsid w:val="009616EF"/>
    <w:rsid w:val="0096537B"/>
    <w:rsid w:val="00966E41"/>
    <w:rsid w:val="00982411"/>
    <w:rsid w:val="00987AC1"/>
    <w:rsid w:val="009912BE"/>
    <w:rsid w:val="0099142E"/>
    <w:rsid w:val="00997969"/>
    <w:rsid w:val="009A4087"/>
    <w:rsid w:val="009A5EDA"/>
    <w:rsid w:val="009A6A9B"/>
    <w:rsid w:val="009A7CA7"/>
    <w:rsid w:val="009B5E8E"/>
    <w:rsid w:val="009C66A1"/>
    <w:rsid w:val="009D4E83"/>
    <w:rsid w:val="009D5C9A"/>
    <w:rsid w:val="009E03D3"/>
    <w:rsid w:val="009E3B8B"/>
    <w:rsid w:val="009F12D1"/>
    <w:rsid w:val="009F229C"/>
    <w:rsid w:val="009F5EA8"/>
    <w:rsid w:val="009F6A00"/>
    <w:rsid w:val="009F7748"/>
    <w:rsid w:val="00A02B13"/>
    <w:rsid w:val="00A06C81"/>
    <w:rsid w:val="00A13C51"/>
    <w:rsid w:val="00A173C7"/>
    <w:rsid w:val="00A1761A"/>
    <w:rsid w:val="00A2278A"/>
    <w:rsid w:val="00A23693"/>
    <w:rsid w:val="00A25741"/>
    <w:rsid w:val="00A2579B"/>
    <w:rsid w:val="00A26042"/>
    <w:rsid w:val="00A30634"/>
    <w:rsid w:val="00A31389"/>
    <w:rsid w:val="00A34ADA"/>
    <w:rsid w:val="00A35258"/>
    <w:rsid w:val="00A41281"/>
    <w:rsid w:val="00A421C6"/>
    <w:rsid w:val="00A42792"/>
    <w:rsid w:val="00A438AC"/>
    <w:rsid w:val="00A44BC2"/>
    <w:rsid w:val="00A44DFC"/>
    <w:rsid w:val="00A50AC3"/>
    <w:rsid w:val="00A51117"/>
    <w:rsid w:val="00A5230D"/>
    <w:rsid w:val="00A5236B"/>
    <w:rsid w:val="00A57EAD"/>
    <w:rsid w:val="00A63042"/>
    <w:rsid w:val="00A6458C"/>
    <w:rsid w:val="00A6473A"/>
    <w:rsid w:val="00A649D2"/>
    <w:rsid w:val="00A6632D"/>
    <w:rsid w:val="00A71FB2"/>
    <w:rsid w:val="00A80E70"/>
    <w:rsid w:val="00A870B7"/>
    <w:rsid w:val="00AA001E"/>
    <w:rsid w:val="00AA179A"/>
    <w:rsid w:val="00AA1CE0"/>
    <w:rsid w:val="00AA6769"/>
    <w:rsid w:val="00AA6AA7"/>
    <w:rsid w:val="00AA7622"/>
    <w:rsid w:val="00AB3E6F"/>
    <w:rsid w:val="00AB77BA"/>
    <w:rsid w:val="00AC152F"/>
    <w:rsid w:val="00AD1594"/>
    <w:rsid w:val="00AD23CE"/>
    <w:rsid w:val="00AD4B31"/>
    <w:rsid w:val="00AD706A"/>
    <w:rsid w:val="00AD7DF1"/>
    <w:rsid w:val="00AE016C"/>
    <w:rsid w:val="00AE49E1"/>
    <w:rsid w:val="00AF3645"/>
    <w:rsid w:val="00AF513D"/>
    <w:rsid w:val="00AF7759"/>
    <w:rsid w:val="00B055EA"/>
    <w:rsid w:val="00B142B5"/>
    <w:rsid w:val="00B15166"/>
    <w:rsid w:val="00B17769"/>
    <w:rsid w:val="00B21EE6"/>
    <w:rsid w:val="00B24507"/>
    <w:rsid w:val="00B26ABE"/>
    <w:rsid w:val="00B409EA"/>
    <w:rsid w:val="00B410E6"/>
    <w:rsid w:val="00B41D1F"/>
    <w:rsid w:val="00B44E1F"/>
    <w:rsid w:val="00B50C53"/>
    <w:rsid w:val="00B541D7"/>
    <w:rsid w:val="00B54B1C"/>
    <w:rsid w:val="00B56844"/>
    <w:rsid w:val="00B56F42"/>
    <w:rsid w:val="00B5701F"/>
    <w:rsid w:val="00B57767"/>
    <w:rsid w:val="00B6669A"/>
    <w:rsid w:val="00B6690C"/>
    <w:rsid w:val="00B678B5"/>
    <w:rsid w:val="00B74EE1"/>
    <w:rsid w:val="00B81095"/>
    <w:rsid w:val="00B815F2"/>
    <w:rsid w:val="00B8271C"/>
    <w:rsid w:val="00B8381B"/>
    <w:rsid w:val="00B83FAE"/>
    <w:rsid w:val="00B86358"/>
    <w:rsid w:val="00B8667B"/>
    <w:rsid w:val="00B9128E"/>
    <w:rsid w:val="00B9192E"/>
    <w:rsid w:val="00B94548"/>
    <w:rsid w:val="00BA4F36"/>
    <w:rsid w:val="00BA5D34"/>
    <w:rsid w:val="00BA7902"/>
    <w:rsid w:val="00BB248B"/>
    <w:rsid w:val="00BB3170"/>
    <w:rsid w:val="00BB3902"/>
    <w:rsid w:val="00BC22E5"/>
    <w:rsid w:val="00BC4D38"/>
    <w:rsid w:val="00BD36F4"/>
    <w:rsid w:val="00BD46FB"/>
    <w:rsid w:val="00BE4ED6"/>
    <w:rsid w:val="00BE5F5E"/>
    <w:rsid w:val="00BE782B"/>
    <w:rsid w:val="00BF1734"/>
    <w:rsid w:val="00C00182"/>
    <w:rsid w:val="00C02C3C"/>
    <w:rsid w:val="00C16419"/>
    <w:rsid w:val="00C2476D"/>
    <w:rsid w:val="00C35A8A"/>
    <w:rsid w:val="00C36C9D"/>
    <w:rsid w:val="00C442F9"/>
    <w:rsid w:val="00C4655B"/>
    <w:rsid w:val="00C46EC1"/>
    <w:rsid w:val="00C4710B"/>
    <w:rsid w:val="00C50DC4"/>
    <w:rsid w:val="00C50F0B"/>
    <w:rsid w:val="00C5187C"/>
    <w:rsid w:val="00C52C3F"/>
    <w:rsid w:val="00C64419"/>
    <w:rsid w:val="00C64AA5"/>
    <w:rsid w:val="00C65C2F"/>
    <w:rsid w:val="00C72944"/>
    <w:rsid w:val="00C744B1"/>
    <w:rsid w:val="00C762BE"/>
    <w:rsid w:val="00C818F4"/>
    <w:rsid w:val="00C82A28"/>
    <w:rsid w:val="00C87DF6"/>
    <w:rsid w:val="00C97F5A"/>
    <w:rsid w:val="00CA5BC9"/>
    <w:rsid w:val="00CA75DC"/>
    <w:rsid w:val="00CB3C90"/>
    <w:rsid w:val="00CC4465"/>
    <w:rsid w:val="00CC69BB"/>
    <w:rsid w:val="00CD1954"/>
    <w:rsid w:val="00CD3737"/>
    <w:rsid w:val="00CE5427"/>
    <w:rsid w:val="00CF2F24"/>
    <w:rsid w:val="00CF3C0E"/>
    <w:rsid w:val="00CF476A"/>
    <w:rsid w:val="00D00454"/>
    <w:rsid w:val="00D008C6"/>
    <w:rsid w:val="00D05E5D"/>
    <w:rsid w:val="00D1062E"/>
    <w:rsid w:val="00D20DC9"/>
    <w:rsid w:val="00D214D7"/>
    <w:rsid w:val="00D23004"/>
    <w:rsid w:val="00D24AF0"/>
    <w:rsid w:val="00D30568"/>
    <w:rsid w:val="00D31954"/>
    <w:rsid w:val="00D35450"/>
    <w:rsid w:val="00D37FF2"/>
    <w:rsid w:val="00D548A5"/>
    <w:rsid w:val="00D56B68"/>
    <w:rsid w:val="00D61F89"/>
    <w:rsid w:val="00D63E2C"/>
    <w:rsid w:val="00D6581E"/>
    <w:rsid w:val="00D70CC9"/>
    <w:rsid w:val="00D82018"/>
    <w:rsid w:val="00D84C82"/>
    <w:rsid w:val="00D92981"/>
    <w:rsid w:val="00D95A07"/>
    <w:rsid w:val="00D970A1"/>
    <w:rsid w:val="00D97DCA"/>
    <w:rsid w:val="00DB1C02"/>
    <w:rsid w:val="00DB241F"/>
    <w:rsid w:val="00DB315F"/>
    <w:rsid w:val="00DC1CD9"/>
    <w:rsid w:val="00DC6A8B"/>
    <w:rsid w:val="00DD1949"/>
    <w:rsid w:val="00DD7EA0"/>
    <w:rsid w:val="00DE71D7"/>
    <w:rsid w:val="00DF1D2D"/>
    <w:rsid w:val="00DF2382"/>
    <w:rsid w:val="00DF4C23"/>
    <w:rsid w:val="00DF7989"/>
    <w:rsid w:val="00E07CC9"/>
    <w:rsid w:val="00E1408F"/>
    <w:rsid w:val="00E1492F"/>
    <w:rsid w:val="00E315D9"/>
    <w:rsid w:val="00E3668C"/>
    <w:rsid w:val="00E37849"/>
    <w:rsid w:val="00E402A0"/>
    <w:rsid w:val="00E444F2"/>
    <w:rsid w:val="00E45F88"/>
    <w:rsid w:val="00E47FEE"/>
    <w:rsid w:val="00E5720A"/>
    <w:rsid w:val="00E57210"/>
    <w:rsid w:val="00E82FE2"/>
    <w:rsid w:val="00E86F65"/>
    <w:rsid w:val="00E95E1E"/>
    <w:rsid w:val="00E9723C"/>
    <w:rsid w:val="00EA23EB"/>
    <w:rsid w:val="00EA2E34"/>
    <w:rsid w:val="00EA3353"/>
    <w:rsid w:val="00EA5A41"/>
    <w:rsid w:val="00EA6CED"/>
    <w:rsid w:val="00EB157C"/>
    <w:rsid w:val="00EB5EDA"/>
    <w:rsid w:val="00EC4609"/>
    <w:rsid w:val="00EC5DF9"/>
    <w:rsid w:val="00EC5E3B"/>
    <w:rsid w:val="00ED0192"/>
    <w:rsid w:val="00ED082D"/>
    <w:rsid w:val="00ED1473"/>
    <w:rsid w:val="00ED2B2C"/>
    <w:rsid w:val="00EE0F8D"/>
    <w:rsid w:val="00EE57AC"/>
    <w:rsid w:val="00EF0CBF"/>
    <w:rsid w:val="00EF235D"/>
    <w:rsid w:val="00EF7FA0"/>
    <w:rsid w:val="00F043DE"/>
    <w:rsid w:val="00F0567C"/>
    <w:rsid w:val="00F0779B"/>
    <w:rsid w:val="00F14D83"/>
    <w:rsid w:val="00F1566E"/>
    <w:rsid w:val="00F16A7F"/>
    <w:rsid w:val="00F17ECB"/>
    <w:rsid w:val="00F25D94"/>
    <w:rsid w:val="00F341D8"/>
    <w:rsid w:val="00F3488A"/>
    <w:rsid w:val="00F351EB"/>
    <w:rsid w:val="00F351F6"/>
    <w:rsid w:val="00F377FC"/>
    <w:rsid w:val="00F4354D"/>
    <w:rsid w:val="00F53F50"/>
    <w:rsid w:val="00F61FB7"/>
    <w:rsid w:val="00F67164"/>
    <w:rsid w:val="00F81DAA"/>
    <w:rsid w:val="00F907F5"/>
    <w:rsid w:val="00F92BCA"/>
    <w:rsid w:val="00FA36BA"/>
    <w:rsid w:val="00FA452D"/>
    <w:rsid w:val="00FA48EB"/>
    <w:rsid w:val="00FA5F5C"/>
    <w:rsid w:val="00FB16FA"/>
    <w:rsid w:val="00FB44ED"/>
    <w:rsid w:val="00FC3F84"/>
    <w:rsid w:val="00FD7189"/>
    <w:rsid w:val="00FD71FE"/>
    <w:rsid w:val="00FE604A"/>
    <w:rsid w:val="00FE637E"/>
    <w:rsid w:val="00FE7D69"/>
    <w:rsid w:val="00FF233D"/>
    <w:rsid w:val="00FF33B4"/>
    <w:rsid w:val="00FF6B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4DFC"/>
    <w:rPr>
      <w:sz w:val="24"/>
    </w:rPr>
  </w:style>
  <w:style w:type="paragraph" w:styleId="Heading1">
    <w:name w:val="heading 1"/>
    <w:basedOn w:val="Normal"/>
    <w:link w:val="Heading1Char"/>
    <w:uiPriority w:val="9"/>
    <w:qFormat/>
    <w:rsid w:val="00AA001E"/>
    <w:pPr>
      <w:numPr>
        <w:numId w:val="6"/>
      </w:numPr>
      <w:spacing w:before="120" w:after="120"/>
      <w:outlineLvl w:val="0"/>
    </w:pPr>
    <w:rPr>
      <w:b/>
      <w:bCs/>
      <w:kern w:val="36"/>
      <w:sz w:val="38"/>
      <w:szCs w:val="38"/>
    </w:rPr>
  </w:style>
  <w:style w:type="paragraph" w:styleId="Heading2">
    <w:name w:val="heading 2"/>
    <w:basedOn w:val="Normal"/>
    <w:next w:val="Normal"/>
    <w:link w:val="Heading2Char"/>
    <w:unhideWhenUsed/>
    <w:qFormat/>
    <w:rsid w:val="000D20AC"/>
    <w:pPr>
      <w:keepNext/>
      <w:keepLines/>
      <w:numPr>
        <w:ilvl w:val="1"/>
        <w:numId w:val="6"/>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E5D50"/>
    <w:pPr>
      <w:keepNext/>
      <w:widowControl w:val="0"/>
      <w:numPr>
        <w:ilvl w:val="2"/>
        <w:numId w:val="6"/>
      </w:numPr>
      <w:suppressAutoHyphens/>
      <w:jc w:val="center"/>
      <w:outlineLvl w:val="2"/>
    </w:pPr>
    <w:rPr>
      <w:rFonts w:eastAsia="Arial Unicode MS"/>
      <w:b/>
      <w:szCs w:val="24"/>
      <w:lang w:eastAsia="en-PH"/>
    </w:rPr>
  </w:style>
  <w:style w:type="paragraph" w:styleId="Heading4">
    <w:name w:val="heading 4"/>
    <w:basedOn w:val="Normal"/>
    <w:next w:val="Normal"/>
    <w:link w:val="Heading4Char"/>
    <w:unhideWhenUsed/>
    <w:qFormat/>
    <w:rsid w:val="000D20AC"/>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D20AC"/>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D20AC"/>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D20AC"/>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D20AC"/>
    <w:pPr>
      <w:keepNext/>
      <w:keepLines/>
      <w:numPr>
        <w:ilvl w:val="7"/>
        <w:numId w:val="6"/>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0D20AC"/>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4DFC"/>
    <w:pPr>
      <w:tabs>
        <w:tab w:val="center" w:pos="4320"/>
        <w:tab w:val="right" w:pos="8640"/>
      </w:tabs>
    </w:pPr>
  </w:style>
  <w:style w:type="paragraph" w:styleId="Footer">
    <w:name w:val="footer"/>
    <w:basedOn w:val="Normal"/>
    <w:link w:val="FooterChar"/>
    <w:uiPriority w:val="99"/>
    <w:rsid w:val="00A44DFC"/>
    <w:pPr>
      <w:tabs>
        <w:tab w:val="center" w:pos="4320"/>
        <w:tab w:val="right" w:pos="8640"/>
      </w:tabs>
    </w:pPr>
  </w:style>
  <w:style w:type="character" w:styleId="Hyperlink">
    <w:name w:val="Hyperlink"/>
    <w:uiPriority w:val="99"/>
    <w:unhideWhenUsed/>
    <w:rsid w:val="00532F06"/>
    <w:rPr>
      <w:color w:val="0000FF"/>
      <w:u w:val="single"/>
    </w:rPr>
  </w:style>
  <w:style w:type="character" w:styleId="CommentReference">
    <w:name w:val="annotation reference"/>
    <w:rsid w:val="00AA1CE0"/>
    <w:rPr>
      <w:sz w:val="16"/>
      <w:szCs w:val="16"/>
    </w:rPr>
  </w:style>
  <w:style w:type="paragraph" w:styleId="CommentText">
    <w:name w:val="annotation text"/>
    <w:basedOn w:val="Normal"/>
    <w:link w:val="CommentTextChar"/>
    <w:rsid w:val="00AA1CE0"/>
    <w:rPr>
      <w:sz w:val="20"/>
    </w:rPr>
  </w:style>
  <w:style w:type="character" w:customStyle="1" w:styleId="CommentTextChar">
    <w:name w:val="Comment Text Char"/>
    <w:basedOn w:val="DefaultParagraphFont"/>
    <w:link w:val="CommentText"/>
    <w:rsid w:val="00AA1CE0"/>
  </w:style>
  <w:style w:type="paragraph" w:styleId="BalloonText">
    <w:name w:val="Balloon Text"/>
    <w:basedOn w:val="Normal"/>
    <w:link w:val="BalloonTextChar"/>
    <w:rsid w:val="00AA1CE0"/>
    <w:rPr>
      <w:rFonts w:ascii="Tahoma" w:hAnsi="Tahoma" w:cs="Tahoma"/>
      <w:sz w:val="16"/>
      <w:szCs w:val="16"/>
    </w:rPr>
  </w:style>
  <w:style w:type="character" w:customStyle="1" w:styleId="BalloonTextChar">
    <w:name w:val="Balloon Text Char"/>
    <w:link w:val="BalloonText"/>
    <w:rsid w:val="00AA1CE0"/>
    <w:rPr>
      <w:rFonts w:ascii="Tahoma" w:hAnsi="Tahoma" w:cs="Tahoma"/>
      <w:sz w:val="16"/>
      <w:szCs w:val="16"/>
    </w:rPr>
  </w:style>
  <w:style w:type="character" w:customStyle="1" w:styleId="HeaderChar">
    <w:name w:val="Header Char"/>
    <w:link w:val="Header"/>
    <w:uiPriority w:val="99"/>
    <w:rsid w:val="0011048A"/>
    <w:rPr>
      <w:sz w:val="24"/>
    </w:rPr>
  </w:style>
  <w:style w:type="character" w:customStyle="1" w:styleId="FooterChar">
    <w:name w:val="Footer Char"/>
    <w:link w:val="Footer"/>
    <w:uiPriority w:val="99"/>
    <w:rsid w:val="00C442F9"/>
    <w:rPr>
      <w:sz w:val="24"/>
    </w:rPr>
  </w:style>
  <w:style w:type="paragraph" w:customStyle="1" w:styleId="Default">
    <w:name w:val="Default"/>
    <w:rsid w:val="006B386C"/>
    <w:pPr>
      <w:autoSpaceDE w:val="0"/>
      <w:autoSpaceDN w:val="0"/>
      <w:adjustRightInd w:val="0"/>
    </w:pPr>
    <w:rPr>
      <w:color w:val="000000"/>
      <w:sz w:val="24"/>
      <w:szCs w:val="24"/>
    </w:rPr>
  </w:style>
  <w:style w:type="paragraph" w:styleId="ListParagraph">
    <w:name w:val="List Paragraph"/>
    <w:basedOn w:val="Normal"/>
    <w:uiPriority w:val="34"/>
    <w:qFormat/>
    <w:rsid w:val="00B142B5"/>
    <w:pPr>
      <w:ind w:left="720"/>
      <w:contextualSpacing/>
    </w:pPr>
  </w:style>
  <w:style w:type="paragraph" w:styleId="CommentSubject">
    <w:name w:val="annotation subject"/>
    <w:basedOn w:val="CommentText"/>
    <w:next w:val="CommentText"/>
    <w:link w:val="CommentSubjectChar"/>
    <w:rsid w:val="003D097C"/>
    <w:rPr>
      <w:b/>
      <w:bCs/>
    </w:rPr>
  </w:style>
  <w:style w:type="character" w:customStyle="1" w:styleId="CommentSubjectChar">
    <w:name w:val="Comment Subject Char"/>
    <w:basedOn w:val="CommentTextChar"/>
    <w:link w:val="CommentSubject"/>
    <w:rsid w:val="003D097C"/>
    <w:rPr>
      <w:b/>
      <w:bCs/>
    </w:rPr>
  </w:style>
  <w:style w:type="paragraph" w:styleId="EndnoteText">
    <w:name w:val="endnote text"/>
    <w:basedOn w:val="Normal"/>
    <w:link w:val="EndnoteTextChar"/>
    <w:rsid w:val="00520F55"/>
    <w:rPr>
      <w:sz w:val="20"/>
    </w:rPr>
  </w:style>
  <w:style w:type="character" w:customStyle="1" w:styleId="EndnoteTextChar">
    <w:name w:val="Endnote Text Char"/>
    <w:basedOn w:val="DefaultParagraphFont"/>
    <w:link w:val="EndnoteText"/>
    <w:rsid w:val="00520F55"/>
  </w:style>
  <w:style w:type="character" w:styleId="EndnoteReference">
    <w:name w:val="endnote reference"/>
    <w:basedOn w:val="DefaultParagraphFont"/>
    <w:rsid w:val="00520F55"/>
    <w:rPr>
      <w:vertAlign w:val="superscript"/>
    </w:rPr>
  </w:style>
  <w:style w:type="paragraph" w:styleId="FootnoteText">
    <w:name w:val="footnote text"/>
    <w:basedOn w:val="Normal"/>
    <w:link w:val="FootnoteTextChar"/>
    <w:uiPriority w:val="99"/>
    <w:rsid w:val="00520F55"/>
    <w:rPr>
      <w:sz w:val="20"/>
    </w:rPr>
  </w:style>
  <w:style w:type="character" w:customStyle="1" w:styleId="FootnoteTextChar">
    <w:name w:val="Footnote Text Char"/>
    <w:basedOn w:val="DefaultParagraphFont"/>
    <w:link w:val="FootnoteText"/>
    <w:uiPriority w:val="99"/>
    <w:rsid w:val="00520F55"/>
  </w:style>
  <w:style w:type="character" w:styleId="FootnoteReference">
    <w:name w:val="footnote reference"/>
    <w:basedOn w:val="DefaultParagraphFont"/>
    <w:uiPriority w:val="99"/>
    <w:rsid w:val="00520F55"/>
    <w:rPr>
      <w:vertAlign w:val="superscript"/>
    </w:rPr>
  </w:style>
  <w:style w:type="paragraph" w:styleId="NormalWeb">
    <w:name w:val="Normal (Web)"/>
    <w:basedOn w:val="Normal"/>
    <w:uiPriority w:val="99"/>
    <w:unhideWhenUsed/>
    <w:rsid w:val="00065173"/>
    <w:pPr>
      <w:spacing w:before="120" w:after="120"/>
    </w:pPr>
    <w:rPr>
      <w:szCs w:val="24"/>
    </w:rPr>
  </w:style>
  <w:style w:type="character" w:customStyle="1" w:styleId="Heading1Char">
    <w:name w:val="Heading 1 Char"/>
    <w:basedOn w:val="DefaultParagraphFont"/>
    <w:link w:val="Heading1"/>
    <w:uiPriority w:val="9"/>
    <w:rsid w:val="00AA001E"/>
    <w:rPr>
      <w:b/>
      <w:bCs/>
      <w:kern w:val="36"/>
      <w:sz w:val="38"/>
      <w:szCs w:val="38"/>
    </w:rPr>
  </w:style>
  <w:style w:type="character" w:styleId="FollowedHyperlink">
    <w:name w:val="FollowedHyperlink"/>
    <w:basedOn w:val="DefaultParagraphFont"/>
    <w:rsid w:val="00B409EA"/>
    <w:rPr>
      <w:color w:val="800080" w:themeColor="followedHyperlink"/>
      <w:u w:val="single"/>
    </w:rPr>
  </w:style>
  <w:style w:type="character" w:customStyle="1" w:styleId="Heading3Char">
    <w:name w:val="Heading 3 Char"/>
    <w:basedOn w:val="DefaultParagraphFont"/>
    <w:link w:val="Heading3"/>
    <w:rsid w:val="008E5D50"/>
    <w:rPr>
      <w:rFonts w:eastAsia="Arial Unicode MS"/>
      <w:b/>
      <w:sz w:val="24"/>
      <w:szCs w:val="24"/>
      <w:lang w:eastAsia="en-PH"/>
    </w:rPr>
  </w:style>
  <w:style w:type="table" w:styleId="TableGrid">
    <w:name w:val="Table Grid"/>
    <w:basedOn w:val="TableNormal"/>
    <w:uiPriority w:val="59"/>
    <w:rsid w:val="008E5D5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0D20A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0D20AC"/>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semiHidden/>
    <w:rsid w:val="000D20AC"/>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semiHidden/>
    <w:rsid w:val="000D20AC"/>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semiHidden/>
    <w:rsid w:val="000D20AC"/>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semiHidden/>
    <w:rsid w:val="000D20A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0D20AC"/>
    <w:rPr>
      <w:rFonts w:asciiTheme="majorHAnsi" w:eastAsiaTheme="majorEastAsia" w:hAnsiTheme="majorHAnsi" w:cstheme="majorBidi"/>
      <w:i/>
      <w:iCs/>
      <w:color w:val="404040" w:themeColor="text1" w:themeTint="BF"/>
    </w:rPr>
  </w:style>
  <w:style w:type="character" w:customStyle="1" w:styleId="headerchar0">
    <w:name w:val="header__char"/>
    <w:basedOn w:val="DefaultParagraphFont"/>
    <w:rsid w:val="00B055EA"/>
  </w:style>
  <w:style w:type="paragraph" w:styleId="Revision">
    <w:name w:val="Revision"/>
    <w:hidden/>
    <w:uiPriority w:val="99"/>
    <w:semiHidden/>
    <w:rsid w:val="00083952"/>
    <w:rPr>
      <w:sz w:val="24"/>
    </w:rPr>
  </w:style>
  <w:style w:type="paragraph" w:styleId="TOC1">
    <w:name w:val="toc 1"/>
    <w:basedOn w:val="Normal"/>
    <w:next w:val="Normal"/>
    <w:autoRedefine/>
    <w:uiPriority w:val="39"/>
    <w:rsid w:val="009A7CA7"/>
    <w:pPr>
      <w:spacing w:after="100"/>
    </w:pPr>
  </w:style>
  <w:style w:type="paragraph" w:styleId="TOC3">
    <w:name w:val="toc 3"/>
    <w:basedOn w:val="Normal"/>
    <w:next w:val="Normal"/>
    <w:autoRedefine/>
    <w:uiPriority w:val="39"/>
    <w:rsid w:val="009A7CA7"/>
    <w:pPr>
      <w:spacing w:after="100"/>
      <w:ind w:left="480"/>
    </w:pPr>
  </w:style>
  <w:style w:type="paragraph" w:styleId="TOC2">
    <w:name w:val="toc 2"/>
    <w:basedOn w:val="Normal"/>
    <w:next w:val="Normal"/>
    <w:autoRedefine/>
    <w:uiPriority w:val="39"/>
    <w:rsid w:val="00FA36BA"/>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4DFC"/>
    <w:rPr>
      <w:sz w:val="24"/>
    </w:rPr>
  </w:style>
  <w:style w:type="paragraph" w:styleId="Heading1">
    <w:name w:val="heading 1"/>
    <w:basedOn w:val="Normal"/>
    <w:link w:val="Heading1Char"/>
    <w:uiPriority w:val="9"/>
    <w:qFormat/>
    <w:rsid w:val="00AA001E"/>
    <w:pPr>
      <w:numPr>
        <w:numId w:val="14"/>
      </w:numPr>
      <w:spacing w:before="120" w:after="120"/>
      <w:outlineLvl w:val="0"/>
    </w:pPr>
    <w:rPr>
      <w:b/>
      <w:bCs/>
      <w:kern w:val="36"/>
      <w:sz w:val="38"/>
      <w:szCs w:val="38"/>
    </w:rPr>
  </w:style>
  <w:style w:type="paragraph" w:styleId="Heading2">
    <w:name w:val="heading 2"/>
    <w:basedOn w:val="Normal"/>
    <w:next w:val="Normal"/>
    <w:link w:val="Heading2Char"/>
    <w:unhideWhenUsed/>
    <w:qFormat/>
    <w:rsid w:val="000D20AC"/>
    <w:pPr>
      <w:keepNext/>
      <w:keepLines/>
      <w:numPr>
        <w:ilvl w:val="1"/>
        <w:numId w:val="1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E5D50"/>
    <w:pPr>
      <w:keepNext/>
      <w:widowControl w:val="0"/>
      <w:numPr>
        <w:ilvl w:val="2"/>
        <w:numId w:val="14"/>
      </w:numPr>
      <w:suppressAutoHyphens/>
      <w:jc w:val="center"/>
      <w:outlineLvl w:val="2"/>
    </w:pPr>
    <w:rPr>
      <w:rFonts w:eastAsia="Arial Unicode MS"/>
      <w:b/>
      <w:szCs w:val="24"/>
      <w:lang w:eastAsia="en-PH"/>
    </w:rPr>
  </w:style>
  <w:style w:type="paragraph" w:styleId="Heading4">
    <w:name w:val="heading 4"/>
    <w:basedOn w:val="Normal"/>
    <w:next w:val="Normal"/>
    <w:link w:val="Heading4Char"/>
    <w:unhideWhenUsed/>
    <w:qFormat/>
    <w:rsid w:val="000D20AC"/>
    <w:pPr>
      <w:keepNext/>
      <w:keepLines/>
      <w:numPr>
        <w:ilvl w:val="3"/>
        <w:numId w:val="1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D20AC"/>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D20AC"/>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D20AC"/>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D20AC"/>
    <w:pPr>
      <w:keepNext/>
      <w:keepLines/>
      <w:numPr>
        <w:ilvl w:val="7"/>
        <w:numId w:val="1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0D20AC"/>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4DFC"/>
    <w:pPr>
      <w:tabs>
        <w:tab w:val="center" w:pos="4320"/>
        <w:tab w:val="right" w:pos="8640"/>
      </w:tabs>
    </w:pPr>
  </w:style>
  <w:style w:type="paragraph" w:styleId="Footer">
    <w:name w:val="footer"/>
    <w:basedOn w:val="Normal"/>
    <w:link w:val="FooterChar"/>
    <w:uiPriority w:val="99"/>
    <w:rsid w:val="00A44DFC"/>
    <w:pPr>
      <w:tabs>
        <w:tab w:val="center" w:pos="4320"/>
        <w:tab w:val="right" w:pos="8640"/>
      </w:tabs>
    </w:pPr>
  </w:style>
  <w:style w:type="character" w:styleId="Hyperlink">
    <w:name w:val="Hyperlink"/>
    <w:uiPriority w:val="99"/>
    <w:unhideWhenUsed/>
    <w:rsid w:val="00532F06"/>
    <w:rPr>
      <w:color w:val="0000FF"/>
      <w:u w:val="single"/>
    </w:rPr>
  </w:style>
  <w:style w:type="character" w:styleId="CommentReference">
    <w:name w:val="annotation reference"/>
    <w:rsid w:val="00AA1CE0"/>
    <w:rPr>
      <w:sz w:val="16"/>
      <w:szCs w:val="16"/>
    </w:rPr>
  </w:style>
  <w:style w:type="paragraph" w:styleId="CommentText">
    <w:name w:val="annotation text"/>
    <w:basedOn w:val="Normal"/>
    <w:link w:val="CommentTextChar"/>
    <w:rsid w:val="00AA1CE0"/>
    <w:rPr>
      <w:sz w:val="20"/>
    </w:rPr>
  </w:style>
  <w:style w:type="character" w:customStyle="1" w:styleId="CommentTextChar">
    <w:name w:val="Comment Text Char"/>
    <w:basedOn w:val="DefaultParagraphFont"/>
    <w:link w:val="CommentText"/>
    <w:rsid w:val="00AA1CE0"/>
  </w:style>
  <w:style w:type="paragraph" w:styleId="BalloonText">
    <w:name w:val="Balloon Text"/>
    <w:basedOn w:val="Normal"/>
    <w:link w:val="BalloonTextChar"/>
    <w:rsid w:val="00AA1CE0"/>
    <w:rPr>
      <w:rFonts w:ascii="Tahoma" w:hAnsi="Tahoma" w:cs="Tahoma"/>
      <w:sz w:val="16"/>
      <w:szCs w:val="16"/>
    </w:rPr>
  </w:style>
  <w:style w:type="character" w:customStyle="1" w:styleId="BalloonTextChar">
    <w:name w:val="Balloon Text Char"/>
    <w:link w:val="BalloonText"/>
    <w:rsid w:val="00AA1CE0"/>
    <w:rPr>
      <w:rFonts w:ascii="Tahoma" w:hAnsi="Tahoma" w:cs="Tahoma"/>
      <w:sz w:val="16"/>
      <w:szCs w:val="16"/>
    </w:rPr>
  </w:style>
  <w:style w:type="character" w:customStyle="1" w:styleId="HeaderChar">
    <w:name w:val="Header Char"/>
    <w:link w:val="Header"/>
    <w:uiPriority w:val="99"/>
    <w:rsid w:val="0011048A"/>
    <w:rPr>
      <w:sz w:val="24"/>
    </w:rPr>
  </w:style>
  <w:style w:type="character" w:customStyle="1" w:styleId="FooterChar">
    <w:name w:val="Footer Char"/>
    <w:link w:val="Footer"/>
    <w:uiPriority w:val="99"/>
    <w:rsid w:val="00C442F9"/>
    <w:rPr>
      <w:sz w:val="24"/>
    </w:rPr>
  </w:style>
  <w:style w:type="paragraph" w:customStyle="1" w:styleId="Default">
    <w:name w:val="Default"/>
    <w:rsid w:val="006B386C"/>
    <w:pPr>
      <w:autoSpaceDE w:val="0"/>
      <w:autoSpaceDN w:val="0"/>
      <w:adjustRightInd w:val="0"/>
    </w:pPr>
    <w:rPr>
      <w:color w:val="000000"/>
      <w:sz w:val="24"/>
      <w:szCs w:val="24"/>
    </w:rPr>
  </w:style>
  <w:style w:type="paragraph" w:styleId="ListParagraph">
    <w:name w:val="List Paragraph"/>
    <w:basedOn w:val="Normal"/>
    <w:uiPriority w:val="34"/>
    <w:qFormat/>
    <w:rsid w:val="00B142B5"/>
    <w:pPr>
      <w:ind w:left="720"/>
      <w:contextualSpacing/>
    </w:pPr>
  </w:style>
  <w:style w:type="paragraph" w:styleId="CommentSubject">
    <w:name w:val="annotation subject"/>
    <w:basedOn w:val="CommentText"/>
    <w:next w:val="CommentText"/>
    <w:link w:val="CommentSubjectChar"/>
    <w:rsid w:val="003D097C"/>
    <w:rPr>
      <w:b/>
      <w:bCs/>
    </w:rPr>
  </w:style>
  <w:style w:type="character" w:customStyle="1" w:styleId="CommentSubjectChar">
    <w:name w:val="Comment Subject Char"/>
    <w:basedOn w:val="CommentTextChar"/>
    <w:link w:val="CommentSubject"/>
    <w:rsid w:val="003D097C"/>
    <w:rPr>
      <w:b/>
      <w:bCs/>
    </w:rPr>
  </w:style>
  <w:style w:type="paragraph" w:styleId="EndnoteText">
    <w:name w:val="endnote text"/>
    <w:basedOn w:val="Normal"/>
    <w:link w:val="EndnoteTextChar"/>
    <w:rsid w:val="00520F55"/>
    <w:rPr>
      <w:sz w:val="20"/>
    </w:rPr>
  </w:style>
  <w:style w:type="character" w:customStyle="1" w:styleId="EndnoteTextChar">
    <w:name w:val="Endnote Text Char"/>
    <w:basedOn w:val="DefaultParagraphFont"/>
    <w:link w:val="EndnoteText"/>
    <w:rsid w:val="00520F55"/>
  </w:style>
  <w:style w:type="character" w:styleId="EndnoteReference">
    <w:name w:val="endnote reference"/>
    <w:basedOn w:val="DefaultParagraphFont"/>
    <w:rsid w:val="00520F55"/>
    <w:rPr>
      <w:vertAlign w:val="superscript"/>
    </w:rPr>
  </w:style>
  <w:style w:type="paragraph" w:styleId="FootnoteText">
    <w:name w:val="footnote text"/>
    <w:basedOn w:val="Normal"/>
    <w:link w:val="FootnoteTextChar"/>
    <w:uiPriority w:val="99"/>
    <w:rsid w:val="00520F55"/>
    <w:rPr>
      <w:sz w:val="20"/>
    </w:rPr>
  </w:style>
  <w:style w:type="character" w:customStyle="1" w:styleId="FootnoteTextChar">
    <w:name w:val="Footnote Text Char"/>
    <w:basedOn w:val="DefaultParagraphFont"/>
    <w:link w:val="FootnoteText"/>
    <w:uiPriority w:val="99"/>
    <w:rsid w:val="00520F55"/>
  </w:style>
  <w:style w:type="character" w:styleId="FootnoteReference">
    <w:name w:val="footnote reference"/>
    <w:basedOn w:val="DefaultParagraphFont"/>
    <w:uiPriority w:val="99"/>
    <w:rsid w:val="00520F55"/>
    <w:rPr>
      <w:vertAlign w:val="superscript"/>
    </w:rPr>
  </w:style>
  <w:style w:type="paragraph" w:styleId="NormalWeb">
    <w:name w:val="Normal (Web)"/>
    <w:basedOn w:val="Normal"/>
    <w:uiPriority w:val="99"/>
    <w:unhideWhenUsed/>
    <w:rsid w:val="00065173"/>
    <w:pPr>
      <w:spacing w:before="120" w:after="120"/>
    </w:pPr>
    <w:rPr>
      <w:szCs w:val="24"/>
    </w:rPr>
  </w:style>
  <w:style w:type="character" w:customStyle="1" w:styleId="Heading1Char">
    <w:name w:val="Heading 1 Char"/>
    <w:basedOn w:val="DefaultParagraphFont"/>
    <w:link w:val="Heading1"/>
    <w:uiPriority w:val="9"/>
    <w:rsid w:val="00AA001E"/>
    <w:rPr>
      <w:b/>
      <w:bCs/>
      <w:kern w:val="36"/>
      <w:sz w:val="38"/>
      <w:szCs w:val="38"/>
    </w:rPr>
  </w:style>
  <w:style w:type="character" w:styleId="FollowedHyperlink">
    <w:name w:val="FollowedHyperlink"/>
    <w:basedOn w:val="DefaultParagraphFont"/>
    <w:rsid w:val="00B409EA"/>
    <w:rPr>
      <w:color w:val="800080" w:themeColor="followedHyperlink"/>
      <w:u w:val="single"/>
    </w:rPr>
  </w:style>
  <w:style w:type="character" w:customStyle="1" w:styleId="Heading3Char">
    <w:name w:val="Heading 3 Char"/>
    <w:basedOn w:val="DefaultParagraphFont"/>
    <w:link w:val="Heading3"/>
    <w:rsid w:val="008E5D50"/>
    <w:rPr>
      <w:rFonts w:eastAsia="Arial Unicode MS"/>
      <w:b/>
      <w:sz w:val="24"/>
      <w:szCs w:val="24"/>
      <w:lang w:eastAsia="en-PH"/>
    </w:rPr>
  </w:style>
  <w:style w:type="table" w:styleId="TableGrid">
    <w:name w:val="Table Grid"/>
    <w:basedOn w:val="TableNormal"/>
    <w:uiPriority w:val="59"/>
    <w:rsid w:val="008E5D5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0D20A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0D20AC"/>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semiHidden/>
    <w:rsid w:val="000D20AC"/>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semiHidden/>
    <w:rsid w:val="000D20AC"/>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semiHidden/>
    <w:rsid w:val="000D20AC"/>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semiHidden/>
    <w:rsid w:val="000D20A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0D20AC"/>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199562519">
      <w:bodyDiv w:val="1"/>
      <w:marLeft w:val="0"/>
      <w:marRight w:val="0"/>
      <w:marTop w:val="0"/>
      <w:marBottom w:val="0"/>
      <w:divBdr>
        <w:top w:val="none" w:sz="0" w:space="0" w:color="auto"/>
        <w:left w:val="none" w:sz="0" w:space="0" w:color="auto"/>
        <w:bottom w:val="none" w:sz="0" w:space="0" w:color="auto"/>
        <w:right w:val="none" w:sz="0" w:space="0" w:color="auto"/>
      </w:divBdr>
    </w:div>
    <w:div w:id="219363741">
      <w:bodyDiv w:val="1"/>
      <w:marLeft w:val="0"/>
      <w:marRight w:val="0"/>
      <w:marTop w:val="0"/>
      <w:marBottom w:val="0"/>
      <w:divBdr>
        <w:top w:val="none" w:sz="0" w:space="0" w:color="auto"/>
        <w:left w:val="none" w:sz="0" w:space="0" w:color="auto"/>
        <w:bottom w:val="none" w:sz="0" w:space="0" w:color="auto"/>
        <w:right w:val="none" w:sz="0" w:space="0" w:color="auto"/>
      </w:divBdr>
      <w:divsChild>
        <w:div w:id="1669165364">
          <w:marLeft w:val="0"/>
          <w:marRight w:val="0"/>
          <w:marTop w:val="0"/>
          <w:marBottom w:val="0"/>
          <w:divBdr>
            <w:top w:val="none" w:sz="0" w:space="0" w:color="auto"/>
            <w:left w:val="none" w:sz="0" w:space="0" w:color="auto"/>
            <w:bottom w:val="none" w:sz="0" w:space="0" w:color="auto"/>
            <w:right w:val="none" w:sz="0" w:space="0" w:color="auto"/>
          </w:divBdr>
        </w:div>
      </w:divsChild>
    </w:div>
    <w:div w:id="263929276">
      <w:bodyDiv w:val="1"/>
      <w:marLeft w:val="0"/>
      <w:marRight w:val="0"/>
      <w:marTop w:val="0"/>
      <w:marBottom w:val="0"/>
      <w:divBdr>
        <w:top w:val="none" w:sz="0" w:space="0" w:color="auto"/>
        <w:left w:val="none" w:sz="0" w:space="0" w:color="auto"/>
        <w:bottom w:val="none" w:sz="0" w:space="0" w:color="auto"/>
        <w:right w:val="none" w:sz="0" w:space="0" w:color="auto"/>
      </w:divBdr>
    </w:div>
    <w:div w:id="343628734">
      <w:bodyDiv w:val="1"/>
      <w:marLeft w:val="0"/>
      <w:marRight w:val="0"/>
      <w:marTop w:val="0"/>
      <w:marBottom w:val="0"/>
      <w:divBdr>
        <w:top w:val="none" w:sz="0" w:space="0" w:color="auto"/>
        <w:left w:val="none" w:sz="0" w:space="0" w:color="auto"/>
        <w:bottom w:val="none" w:sz="0" w:space="0" w:color="auto"/>
        <w:right w:val="none" w:sz="0" w:space="0" w:color="auto"/>
      </w:divBdr>
    </w:div>
    <w:div w:id="598172739">
      <w:bodyDiv w:val="1"/>
      <w:marLeft w:val="0"/>
      <w:marRight w:val="0"/>
      <w:marTop w:val="0"/>
      <w:marBottom w:val="0"/>
      <w:divBdr>
        <w:top w:val="none" w:sz="0" w:space="0" w:color="auto"/>
        <w:left w:val="none" w:sz="0" w:space="0" w:color="auto"/>
        <w:bottom w:val="none" w:sz="0" w:space="0" w:color="auto"/>
        <w:right w:val="none" w:sz="0" w:space="0" w:color="auto"/>
      </w:divBdr>
    </w:div>
    <w:div w:id="913393854">
      <w:bodyDiv w:val="1"/>
      <w:marLeft w:val="0"/>
      <w:marRight w:val="0"/>
      <w:marTop w:val="0"/>
      <w:marBottom w:val="0"/>
      <w:divBdr>
        <w:top w:val="none" w:sz="0" w:space="0" w:color="auto"/>
        <w:left w:val="none" w:sz="0" w:space="0" w:color="auto"/>
        <w:bottom w:val="none" w:sz="0" w:space="0" w:color="auto"/>
        <w:right w:val="none" w:sz="0" w:space="0" w:color="auto"/>
      </w:divBdr>
    </w:div>
    <w:div w:id="937836619">
      <w:bodyDiv w:val="1"/>
      <w:marLeft w:val="0"/>
      <w:marRight w:val="0"/>
      <w:marTop w:val="0"/>
      <w:marBottom w:val="0"/>
      <w:divBdr>
        <w:top w:val="none" w:sz="0" w:space="0" w:color="auto"/>
        <w:left w:val="none" w:sz="0" w:space="0" w:color="auto"/>
        <w:bottom w:val="none" w:sz="0" w:space="0" w:color="auto"/>
        <w:right w:val="none" w:sz="0" w:space="0" w:color="auto"/>
      </w:divBdr>
    </w:div>
    <w:div w:id="1137408776">
      <w:bodyDiv w:val="1"/>
      <w:marLeft w:val="0"/>
      <w:marRight w:val="0"/>
      <w:marTop w:val="0"/>
      <w:marBottom w:val="0"/>
      <w:divBdr>
        <w:top w:val="none" w:sz="0" w:space="0" w:color="auto"/>
        <w:left w:val="none" w:sz="0" w:space="0" w:color="auto"/>
        <w:bottom w:val="none" w:sz="0" w:space="0" w:color="auto"/>
        <w:right w:val="none" w:sz="0" w:space="0" w:color="auto"/>
      </w:divBdr>
    </w:div>
    <w:div w:id="1380665008">
      <w:bodyDiv w:val="1"/>
      <w:marLeft w:val="0"/>
      <w:marRight w:val="0"/>
      <w:marTop w:val="0"/>
      <w:marBottom w:val="0"/>
      <w:divBdr>
        <w:top w:val="none" w:sz="0" w:space="0" w:color="auto"/>
        <w:left w:val="none" w:sz="0" w:space="0" w:color="auto"/>
        <w:bottom w:val="none" w:sz="0" w:space="0" w:color="auto"/>
        <w:right w:val="none" w:sz="0" w:space="0" w:color="auto"/>
      </w:divBdr>
    </w:div>
    <w:div w:id="1462377732">
      <w:bodyDiv w:val="1"/>
      <w:marLeft w:val="0"/>
      <w:marRight w:val="0"/>
      <w:marTop w:val="0"/>
      <w:marBottom w:val="0"/>
      <w:divBdr>
        <w:top w:val="none" w:sz="0" w:space="0" w:color="auto"/>
        <w:left w:val="none" w:sz="0" w:space="0" w:color="auto"/>
        <w:bottom w:val="none" w:sz="0" w:space="0" w:color="auto"/>
        <w:right w:val="none" w:sz="0" w:space="0" w:color="auto"/>
      </w:divBdr>
      <w:divsChild>
        <w:div w:id="1199775251">
          <w:marLeft w:val="0"/>
          <w:marRight w:val="0"/>
          <w:marTop w:val="150"/>
          <w:marBottom w:val="150"/>
          <w:divBdr>
            <w:top w:val="single" w:sz="6" w:space="0" w:color="9B9A7A"/>
            <w:left w:val="single" w:sz="6" w:space="0" w:color="9B9A7A"/>
            <w:bottom w:val="single" w:sz="6" w:space="0" w:color="9B9A7A"/>
            <w:right w:val="single" w:sz="6" w:space="0" w:color="9B9A7A"/>
          </w:divBdr>
          <w:divsChild>
            <w:div w:id="1648970495">
              <w:marLeft w:val="0"/>
              <w:marRight w:val="0"/>
              <w:marTop w:val="0"/>
              <w:marBottom w:val="0"/>
              <w:divBdr>
                <w:top w:val="none" w:sz="0" w:space="0" w:color="auto"/>
                <w:left w:val="none" w:sz="0" w:space="0" w:color="auto"/>
                <w:bottom w:val="none" w:sz="0" w:space="0" w:color="auto"/>
                <w:right w:val="none" w:sz="0" w:space="0" w:color="auto"/>
              </w:divBdr>
              <w:divsChild>
                <w:div w:id="213983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89915">
      <w:bodyDiv w:val="1"/>
      <w:marLeft w:val="0"/>
      <w:marRight w:val="0"/>
      <w:marTop w:val="0"/>
      <w:marBottom w:val="0"/>
      <w:divBdr>
        <w:top w:val="none" w:sz="0" w:space="0" w:color="auto"/>
        <w:left w:val="none" w:sz="0" w:space="0" w:color="auto"/>
        <w:bottom w:val="none" w:sz="0" w:space="0" w:color="auto"/>
        <w:right w:val="none" w:sz="0" w:space="0" w:color="auto"/>
      </w:divBdr>
      <w:divsChild>
        <w:div w:id="127409117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15573295">
              <w:marLeft w:val="0"/>
              <w:marRight w:val="0"/>
              <w:marTop w:val="0"/>
              <w:marBottom w:val="0"/>
              <w:divBdr>
                <w:top w:val="none" w:sz="0" w:space="0" w:color="auto"/>
                <w:left w:val="none" w:sz="0" w:space="0" w:color="auto"/>
                <w:bottom w:val="none" w:sz="0" w:space="0" w:color="auto"/>
                <w:right w:val="none" w:sz="0" w:space="0" w:color="auto"/>
              </w:divBdr>
            </w:div>
            <w:div w:id="423497395">
              <w:marLeft w:val="0"/>
              <w:marRight w:val="0"/>
              <w:marTop w:val="0"/>
              <w:marBottom w:val="0"/>
              <w:divBdr>
                <w:top w:val="none" w:sz="0" w:space="0" w:color="auto"/>
                <w:left w:val="none" w:sz="0" w:space="0" w:color="auto"/>
                <w:bottom w:val="none" w:sz="0" w:space="0" w:color="auto"/>
                <w:right w:val="none" w:sz="0" w:space="0" w:color="auto"/>
              </w:divBdr>
            </w:div>
            <w:div w:id="430972367">
              <w:marLeft w:val="0"/>
              <w:marRight w:val="0"/>
              <w:marTop w:val="0"/>
              <w:marBottom w:val="0"/>
              <w:divBdr>
                <w:top w:val="none" w:sz="0" w:space="0" w:color="auto"/>
                <w:left w:val="none" w:sz="0" w:space="0" w:color="auto"/>
                <w:bottom w:val="none" w:sz="0" w:space="0" w:color="auto"/>
                <w:right w:val="none" w:sz="0" w:space="0" w:color="auto"/>
              </w:divBdr>
            </w:div>
            <w:div w:id="684669524">
              <w:marLeft w:val="0"/>
              <w:marRight w:val="0"/>
              <w:marTop w:val="0"/>
              <w:marBottom w:val="0"/>
              <w:divBdr>
                <w:top w:val="none" w:sz="0" w:space="0" w:color="auto"/>
                <w:left w:val="none" w:sz="0" w:space="0" w:color="auto"/>
                <w:bottom w:val="none" w:sz="0" w:space="0" w:color="auto"/>
                <w:right w:val="none" w:sz="0" w:space="0" w:color="auto"/>
              </w:divBdr>
            </w:div>
            <w:div w:id="743574324">
              <w:marLeft w:val="0"/>
              <w:marRight w:val="0"/>
              <w:marTop w:val="0"/>
              <w:marBottom w:val="0"/>
              <w:divBdr>
                <w:top w:val="none" w:sz="0" w:space="0" w:color="auto"/>
                <w:left w:val="none" w:sz="0" w:space="0" w:color="auto"/>
                <w:bottom w:val="none" w:sz="0" w:space="0" w:color="auto"/>
                <w:right w:val="none" w:sz="0" w:space="0" w:color="auto"/>
              </w:divBdr>
            </w:div>
            <w:div w:id="766272926">
              <w:marLeft w:val="0"/>
              <w:marRight w:val="0"/>
              <w:marTop w:val="0"/>
              <w:marBottom w:val="0"/>
              <w:divBdr>
                <w:top w:val="none" w:sz="0" w:space="0" w:color="auto"/>
                <w:left w:val="none" w:sz="0" w:space="0" w:color="auto"/>
                <w:bottom w:val="none" w:sz="0" w:space="0" w:color="auto"/>
                <w:right w:val="none" w:sz="0" w:space="0" w:color="auto"/>
              </w:divBdr>
            </w:div>
            <w:div w:id="829829004">
              <w:marLeft w:val="0"/>
              <w:marRight w:val="0"/>
              <w:marTop w:val="0"/>
              <w:marBottom w:val="0"/>
              <w:divBdr>
                <w:top w:val="none" w:sz="0" w:space="0" w:color="auto"/>
                <w:left w:val="none" w:sz="0" w:space="0" w:color="auto"/>
                <w:bottom w:val="none" w:sz="0" w:space="0" w:color="auto"/>
                <w:right w:val="none" w:sz="0" w:space="0" w:color="auto"/>
              </w:divBdr>
            </w:div>
            <w:div w:id="992753534">
              <w:marLeft w:val="0"/>
              <w:marRight w:val="0"/>
              <w:marTop w:val="0"/>
              <w:marBottom w:val="0"/>
              <w:divBdr>
                <w:top w:val="none" w:sz="0" w:space="0" w:color="auto"/>
                <w:left w:val="none" w:sz="0" w:space="0" w:color="auto"/>
                <w:bottom w:val="none" w:sz="0" w:space="0" w:color="auto"/>
                <w:right w:val="none" w:sz="0" w:space="0" w:color="auto"/>
              </w:divBdr>
            </w:div>
            <w:div w:id="1261838628">
              <w:marLeft w:val="0"/>
              <w:marRight w:val="0"/>
              <w:marTop w:val="0"/>
              <w:marBottom w:val="0"/>
              <w:divBdr>
                <w:top w:val="none" w:sz="0" w:space="0" w:color="auto"/>
                <w:left w:val="none" w:sz="0" w:space="0" w:color="auto"/>
                <w:bottom w:val="none" w:sz="0" w:space="0" w:color="auto"/>
                <w:right w:val="none" w:sz="0" w:space="0" w:color="auto"/>
              </w:divBdr>
            </w:div>
            <w:div w:id="1317417945">
              <w:marLeft w:val="0"/>
              <w:marRight w:val="0"/>
              <w:marTop w:val="0"/>
              <w:marBottom w:val="0"/>
              <w:divBdr>
                <w:top w:val="none" w:sz="0" w:space="0" w:color="auto"/>
                <w:left w:val="none" w:sz="0" w:space="0" w:color="auto"/>
                <w:bottom w:val="none" w:sz="0" w:space="0" w:color="auto"/>
                <w:right w:val="none" w:sz="0" w:space="0" w:color="auto"/>
              </w:divBdr>
            </w:div>
            <w:div w:id="1491755914">
              <w:marLeft w:val="0"/>
              <w:marRight w:val="0"/>
              <w:marTop w:val="0"/>
              <w:marBottom w:val="0"/>
              <w:divBdr>
                <w:top w:val="none" w:sz="0" w:space="0" w:color="auto"/>
                <w:left w:val="none" w:sz="0" w:space="0" w:color="auto"/>
                <w:bottom w:val="none" w:sz="0" w:space="0" w:color="auto"/>
                <w:right w:val="none" w:sz="0" w:space="0" w:color="auto"/>
              </w:divBdr>
            </w:div>
            <w:div w:id="1522544742">
              <w:marLeft w:val="0"/>
              <w:marRight w:val="0"/>
              <w:marTop w:val="0"/>
              <w:marBottom w:val="0"/>
              <w:divBdr>
                <w:top w:val="none" w:sz="0" w:space="0" w:color="auto"/>
                <w:left w:val="none" w:sz="0" w:space="0" w:color="auto"/>
                <w:bottom w:val="none" w:sz="0" w:space="0" w:color="auto"/>
                <w:right w:val="none" w:sz="0" w:space="0" w:color="auto"/>
              </w:divBdr>
            </w:div>
            <w:div w:id="1610041538">
              <w:marLeft w:val="0"/>
              <w:marRight w:val="0"/>
              <w:marTop w:val="0"/>
              <w:marBottom w:val="0"/>
              <w:divBdr>
                <w:top w:val="none" w:sz="0" w:space="0" w:color="auto"/>
                <w:left w:val="none" w:sz="0" w:space="0" w:color="auto"/>
                <w:bottom w:val="none" w:sz="0" w:space="0" w:color="auto"/>
                <w:right w:val="none" w:sz="0" w:space="0" w:color="auto"/>
              </w:divBdr>
            </w:div>
            <w:div w:id="1749113568">
              <w:marLeft w:val="0"/>
              <w:marRight w:val="0"/>
              <w:marTop w:val="0"/>
              <w:marBottom w:val="0"/>
              <w:divBdr>
                <w:top w:val="none" w:sz="0" w:space="0" w:color="auto"/>
                <w:left w:val="none" w:sz="0" w:space="0" w:color="auto"/>
                <w:bottom w:val="none" w:sz="0" w:space="0" w:color="auto"/>
                <w:right w:val="none" w:sz="0" w:space="0" w:color="auto"/>
              </w:divBdr>
            </w:div>
            <w:div w:id="1782723168">
              <w:marLeft w:val="0"/>
              <w:marRight w:val="0"/>
              <w:marTop w:val="0"/>
              <w:marBottom w:val="0"/>
              <w:divBdr>
                <w:top w:val="none" w:sz="0" w:space="0" w:color="auto"/>
                <w:left w:val="none" w:sz="0" w:space="0" w:color="auto"/>
                <w:bottom w:val="none" w:sz="0" w:space="0" w:color="auto"/>
                <w:right w:val="none" w:sz="0" w:space="0" w:color="auto"/>
              </w:divBdr>
            </w:div>
            <w:div w:id="1996493634">
              <w:marLeft w:val="0"/>
              <w:marRight w:val="0"/>
              <w:marTop w:val="0"/>
              <w:marBottom w:val="0"/>
              <w:divBdr>
                <w:top w:val="none" w:sz="0" w:space="0" w:color="auto"/>
                <w:left w:val="none" w:sz="0" w:space="0" w:color="auto"/>
                <w:bottom w:val="none" w:sz="0" w:space="0" w:color="auto"/>
                <w:right w:val="none" w:sz="0" w:space="0" w:color="auto"/>
              </w:divBdr>
            </w:div>
            <w:div w:id="2019505193">
              <w:marLeft w:val="0"/>
              <w:marRight w:val="0"/>
              <w:marTop w:val="0"/>
              <w:marBottom w:val="0"/>
              <w:divBdr>
                <w:top w:val="none" w:sz="0" w:space="0" w:color="auto"/>
                <w:left w:val="none" w:sz="0" w:space="0" w:color="auto"/>
                <w:bottom w:val="none" w:sz="0" w:space="0" w:color="auto"/>
                <w:right w:val="none" w:sz="0" w:space="0" w:color="auto"/>
              </w:divBdr>
            </w:div>
            <w:div w:id="20314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5811">
      <w:bodyDiv w:val="1"/>
      <w:marLeft w:val="0"/>
      <w:marRight w:val="0"/>
      <w:marTop w:val="0"/>
      <w:marBottom w:val="0"/>
      <w:divBdr>
        <w:top w:val="none" w:sz="0" w:space="0" w:color="auto"/>
        <w:left w:val="none" w:sz="0" w:space="0" w:color="auto"/>
        <w:bottom w:val="none" w:sz="0" w:space="0" w:color="auto"/>
        <w:right w:val="none" w:sz="0" w:space="0" w:color="auto"/>
      </w:divBdr>
    </w:div>
    <w:div w:id="1914462788">
      <w:bodyDiv w:val="1"/>
      <w:marLeft w:val="0"/>
      <w:marRight w:val="0"/>
      <w:marTop w:val="0"/>
      <w:marBottom w:val="0"/>
      <w:divBdr>
        <w:top w:val="none" w:sz="0" w:space="0" w:color="auto"/>
        <w:left w:val="none" w:sz="0" w:space="0" w:color="auto"/>
        <w:bottom w:val="none" w:sz="0" w:space="0" w:color="auto"/>
        <w:right w:val="none" w:sz="0" w:space="0" w:color="auto"/>
      </w:divBdr>
    </w:div>
    <w:div w:id="193902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hs.gov/asfr/ogapa/acquisition/effspendpol_memo.html" TargetMode="External"/><Relationship Id="rId18" Type="http://schemas.openxmlformats.org/officeDocument/2006/relationships/hyperlink" Target="file:///C:\Documents%20and%20Settings\liffersw\Local%20Settings\Temporary%20Internet%20Files\Content.Outlook\KYBFPQZG\bullsmg@mail.nih.gov" TargetMode="External"/><Relationship Id="rId26" Type="http://schemas.openxmlformats.org/officeDocument/2006/relationships/hyperlink" Target="http://www.hhs.gov/asfr/ogapa/acquisition/appfundspol_att2.html" TargetMode="External"/><Relationship Id="rId39"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mailto:SimplifiedAcquisitionHelp@od.nih.gov" TargetMode="External"/><Relationship Id="rId34" Type="http://schemas.openxmlformats.org/officeDocument/2006/relationships/footer" Target="footer1.xml"/><Relationship Id="rId42"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yperlink" Target="http://www.whitehouse.gov/the-press-office/2011/11/09/executive-order-promoting-efficient-spending" TargetMode="External"/><Relationship Id="rId17" Type="http://schemas.openxmlformats.org/officeDocument/2006/relationships/hyperlink" Target="mailto:Joe.Ellis@nih.gov" TargetMode="External"/><Relationship Id="rId25" Type="http://schemas.openxmlformats.org/officeDocument/2006/relationships/hyperlink" Target="file:///C:\Documents%20and%20Settings\kaminsks\Local%20Settings\Temporary%20Internet%20Files\Content.Outlook\F0ENQE2C\bullsmg@mail.nih.gov" TargetMode="External"/><Relationship Id="rId33" Type="http://schemas.openxmlformats.org/officeDocument/2006/relationships/hyperlink" Target="mailto:Theresa.Garnes@nih.gov" TargetMode="External"/><Relationship Id="rId38" Type="http://schemas.openxmlformats.org/officeDocument/2006/relationships/hyperlink" Target="mailto:michelle.bulls@nih.gov" TargetMode="External"/><Relationship Id="rId2" Type="http://schemas.openxmlformats.org/officeDocument/2006/relationships/customXml" Target="../customXml/item2.xml"/><Relationship Id="rId16" Type="http://schemas.openxmlformats.org/officeDocument/2006/relationships/hyperlink" Target="mailto:Kenneth.Stith@nih.gov" TargetMode="External"/><Relationship Id="rId20" Type="http://schemas.openxmlformats.org/officeDocument/2006/relationships/hyperlink" Target="mailto:SimplifiedAcquisitionHelp@od.nih.gov" TargetMode="External"/><Relationship Id="rId29" Type="http://schemas.openxmlformats.org/officeDocument/2006/relationships/hyperlink" Target="mailto:SimplifiedAcquisitionHelp@od.nih.go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itehouse.gov/the-press-office/2011/06/13/executive-order-delivering-efficient-effective-and-accountable-governmen" TargetMode="External"/><Relationship Id="rId24" Type="http://schemas.openxmlformats.org/officeDocument/2006/relationships/hyperlink" Target="mailto:Joe.Ellis@nih.gov" TargetMode="External"/><Relationship Id="rId32" Type="http://schemas.openxmlformats.org/officeDocument/2006/relationships/hyperlink" Target="http://www.gsa.gov/portal/content/111983)" TargetMode="External"/><Relationship Id="rId37" Type="http://schemas.openxmlformats.org/officeDocument/2006/relationships/hyperlink" Target="mailto:Anna.Snouffer@nih.gov"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Frasierd@mail.nih.gov" TargetMode="External"/><Relationship Id="rId23" Type="http://schemas.openxmlformats.org/officeDocument/2006/relationships/hyperlink" Target="http://grants.nih.gov/grants/guide/notice-files/NOT-OD-12-041.html" TargetMode="External"/><Relationship Id="rId28" Type="http://schemas.openxmlformats.org/officeDocument/2006/relationships/hyperlink" Target="http://www.hhs.gov/asfr/ogapa/acquisition/promoitems_att3.html" TargetMode="External"/><Relationship Id="rId36"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yperlink" Target="http://www.hhs.gov/asfr/ogapa/acquisition/appfundspol_att1.html" TargetMode="External"/><Relationship Id="rId31" Type="http://schemas.openxmlformats.org/officeDocument/2006/relationships/hyperlink" Target="http://www.hhs.gov/asfr/ogapa/acquisition/printpubpol_att4.html"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Theresa.Garnes@nih.gov" TargetMode="External"/><Relationship Id="rId22" Type="http://schemas.openxmlformats.org/officeDocument/2006/relationships/hyperlink" Target="mailto:Theresa.Garnes@nih.gov" TargetMode="External"/><Relationship Id="rId27" Type="http://schemas.openxmlformats.org/officeDocument/2006/relationships/hyperlink" Target="mailto:Kenneth.stith@nih.gov" TargetMode="External"/><Relationship Id="rId30" Type="http://schemas.openxmlformats.org/officeDocument/2006/relationships/hyperlink" Target="mailto:Theresa.Garnes@nih.gov" TargetMode="External"/><Relationship Id="rId35"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gao.gov/special.pubs/d04261sp.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JE%20TEMPLATES\NI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622AB-0963-46F9-8FA0-94232868BECD}">
  <ds:schemaRefs>
    <ds:schemaRef ds:uri="http://schemas.openxmlformats.org/officeDocument/2006/bibliography"/>
  </ds:schemaRefs>
</ds:datastoreItem>
</file>

<file path=customXml/itemProps2.xml><?xml version="1.0" encoding="utf-8"?>
<ds:datastoreItem xmlns:ds="http://schemas.openxmlformats.org/officeDocument/2006/customXml" ds:itemID="{2DB4DC7E-A6A8-4ADC-AE46-37783ED85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NIH Letterhead.dot</Template>
  <TotalTime>1</TotalTime>
  <Pages>11</Pages>
  <Words>4067</Words>
  <Characters>25500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OD/OIT</Company>
  <LinksUpToDate>false</LinksUpToDate>
  <CharactersWithSpaces>29508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Theresa Garnes</dc:creator>
  <cp:lastModifiedBy>kaminsks</cp:lastModifiedBy>
  <cp:revision>2</cp:revision>
  <cp:lastPrinted>2012-01-30T19:40:00Z</cp:lastPrinted>
  <dcterms:created xsi:type="dcterms:W3CDTF">2012-02-07T13:52:00Z</dcterms:created>
  <dcterms:modified xsi:type="dcterms:W3CDTF">2012-02-07T13:52:00Z</dcterms:modified>
</cp:coreProperties>
</file>