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40" w:rsidRDefault="00FC3A40" w:rsidP="00420CFF">
      <w:pPr>
        <w:pStyle w:val="Title"/>
        <w:framePr w:wrap="notBeside"/>
        <w:rPr>
          <w:b w:val="0"/>
        </w:rPr>
      </w:pPr>
      <w:r w:rsidRPr="00B353A6">
        <w:t xml:space="preserve">Questions and </w:t>
      </w:r>
      <w:r>
        <w:t>Answers</w:t>
      </w:r>
    </w:p>
    <w:p w:rsidR="000D7600" w:rsidRDefault="000D7600" w:rsidP="00420CFF">
      <w:pPr>
        <w:pStyle w:val="Title"/>
        <w:framePr w:wrap="notBeside"/>
        <w:rPr>
          <w:b w:val="0"/>
        </w:rPr>
      </w:pPr>
      <w:r>
        <w:t xml:space="preserve">HHS Policy on Use of Appropriated Funds for </w:t>
      </w:r>
    </w:p>
    <w:p w:rsidR="00FC3A40" w:rsidRDefault="000D7600" w:rsidP="00420CFF">
      <w:pPr>
        <w:pStyle w:val="Title"/>
        <w:framePr w:wrap="notBeside"/>
        <w:rPr>
          <w:b w:val="0"/>
        </w:rPr>
      </w:pPr>
      <w:r>
        <w:t>Conferences and Meeting Space</w:t>
      </w:r>
    </w:p>
    <w:p w:rsidR="000D7600" w:rsidRDefault="000D7600" w:rsidP="00420CFF">
      <w:pPr>
        <w:pStyle w:val="Title"/>
        <w:framePr w:wrap="notBeside"/>
        <w:rPr>
          <w:b w:val="0"/>
        </w:rPr>
      </w:pPr>
      <w:r>
        <w:t xml:space="preserve">(January </w:t>
      </w:r>
      <w:r w:rsidR="00E033AA">
        <w:t>16</w:t>
      </w:r>
      <w:r>
        <w:t>, 2012)</w:t>
      </w:r>
    </w:p>
    <w:p w:rsidR="002B7B6A" w:rsidRPr="00FC3A40" w:rsidRDefault="00B353A6" w:rsidP="00D0409F">
      <w:pPr>
        <w:spacing w:after="0" w:line="240" w:lineRule="auto"/>
        <w:jc w:val="center"/>
        <w:rPr>
          <w:rFonts w:cs="Times New Roman"/>
          <w:b/>
          <w:sz w:val="28"/>
          <w:szCs w:val="28"/>
        </w:rPr>
      </w:pPr>
      <w:r w:rsidRPr="00B353A6">
        <w:rPr>
          <w:rFonts w:cs="Times New Roman"/>
          <w:b/>
          <w:sz w:val="28"/>
          <w:szCs w:val="28"/>
        </w:rPr>
        <w:t xml:space="preserve"> </w:t>
      </w:r>
    </w:p>
    <w:p w:rsidR="00B353A6" w:rsidRPr="00420CFF" w:rsidRDefault="00B353A6" w:rsidP="00810888">
      <w:pPr>
        <w:pStyle w:val="ListParagraph"/>
        <w:numPr>
          <w:ilvl w:val="0"/>
          <w:numId w:val="6"/>
        </w:numPr>
        <w:spacing w:after="0" w:line="240" w:lineRule="auto"/>
        <w:ind w:left="360"/>
        <w:rPr>
          <w:rStyle w:val="Strong"/>
        </w:rPr>
      </w:pPr>
      <w:r w:rsidRPr="00420CFF">
        <w:rPr>
          <w:rStyle w:val="Strong"/>
        </w:rPr>
        <w:t>What is the OMB Memorandum</w:t>
      </w:r>
      <w:r w:rsidR="00696822" w:rsidRPr="00420CFF">
        <w:rPr>
          <w:rStyle w:val="Strong"/>
        </w:rPr>
        <w:t xml:space="preserve"> </w:t>
      </w:r>
      <w:r w:rsidRPr="00420CFF">
        <w:rPr>
          <w:rStyle w:val="Strong"/>
        </w:rPr>
        <w:t>M-11-35</w:t>
      </w:r>
      <w:r w:rsidR="00696822" w:rsidRPr="00420CFF">
        <w:rPr>
          <w:rStyle w:val="Strong"/>
        </w:rPr>
        <w:t xml:space="preserve"> </w:t>
      </w:r>
      <w:r w:rsidRPr="00420CFF">
        <w:rPr>
          <w:rStyle w:val="Strong"/>
        </w:rPr>
        <w:t>“Eliminating Excess Conference Spending and Promoting Efficiency in Government</w:t>
      </w:r>
      <w:r w:rsidR="00696822" w:rsidRPr="00420CFF">
        <w:rPr>
          <w:rStyle w:val="Strong"/>
        </w:rPr>
        <w:t>”</w:t>
      </w:r>
      <w:r w:rsidRPr="00420CFF">
        <w:rPr>
          <w:rStyle w:val="Strong"/>
        </w:rPr>
        <w:t>?</w:t>
      </w:r>
    </w:p>
    <w:p w:rsidR="0050582A" w:rsidRDefault="0050582A" w:rsidP="00810888">
      <w:pPr>
        <w:spacing w:after="0" w:line="240" w:lineRule="auto"/>
        <w:ind w:left="360"/>
        <w:rPr>
          <w:rFonts w:cs="Times New Roman"/>
          <w:szCs w:val="24"/>
        </w:rPr>
      </w:pPr>
    </w:p>
    <w:p w:rsidR="000D7600" w:rsidRDefault="00FC3A40" w:rsidP="00420CFF">
      <w:r w:rsidRPr="0041256C">
        <w:t xml:space="preserve">On September 21, 2011, OMB issued its </w:t>
      </w:r>
      <w:hyperlink r:id="rId8" w:history="1">
        <w:r w:rsidRPr="0041256C">
          <w:rPr>
            <w:rStyle w:val="Hyperlink"/>
            <w:rFonts w:cs="Times New Roman"/>
            <w:szCs w:val="24"/>
          </w:rPr>
          <w:t>memo</w:t>
        </w:r>
        <w:r w:rsidRPr="0041256C">
          <w:rPr>
            <w:rStyle w:val="Hyperlink"/>
            <w:rFonts w:cs="Times New Roman"/>
            <w:szCs w:val="24"/>
          </w:rPr>
          <w:t>r</w:t>
        </w:r>
        <w:r w:rsidRPr="0041256C">
          <w:rPr>
            <w:rStyle w:val="Hyperlink"/>
            <w:rFonts w:cs="Times New Roman"/>
            <w:szCs w:val="24"/>
          </w:rPr>
          <w:t>andum</w:t>
        </w:r>
      </w:hyperlink>
      <w:r w:rsidRPr="0041256C">
        <w:t xml:space="preserve"> on </w:t>
      </w:r>
      <w:r w:rsidR="00B353A6" w:rsidRPr="0041256C">
        <w:t xml:space="preserve">“Eliminating Excess Conference Spending and Promoting Efficiency in Government” </w:t>
      </w:r>
      <w:r w:rsidRPr="0041256C">
        <w:t xml:space="preserve">to </w:t>
      </w:r>
      <w:r w:rsidR="00856527" w:rsidRPr="0041256C">
        <w:t>heads of Executive Department</w:t>
      </w:r>
      <w:r w:rsidR="00D164EA" w:rsidRPr="0041256C">
        <w:t>s</w:t>
      </w:r>
      <w:r w:rsidR="00856527" w:rsidRPr="0041256C">
        <w:t xml:space="preserve"> and Agencies</w:t>
      </w:r>
      <w:r w:rsidR="002E098F" w:rsidRPr="0041256C">
        <w:t>.  The purpose</w:t>
      </w:r>
      <w:r w:rsidRPr="0041256C">
        <w:t>s</w:t>
      </w:r>
      <w:r w:rsidR="002E098F" w:rsidRPr="0041256C">
        <w:t xml:space="preserve"> of the memorandum </w:t>
      </w:r>
      <w:r w:rsidRPr="0041256C">
        <w:t>were</w:t>
      </w:r>
      <w:r w:rsidR="00856527" w:rsidRPr="0041256C">
        <w:t xml:space="preserve"> to: (1) </w:t>
      </w:r>
      <w:r w:rsidR="005611E0" w:rsidRPr="0041256C">
        <w:t xml:space="preserve">provide a status </w:t>
      </w:r>
      <w:r w:rsidR="00696822" w:rsidRPr="0041256C">
        <w:t xml:space="preserve">update </w:t>
      </w:r>
      <w:r w:rsidR="005611E0" w:rsidRPr="0041256C">
        <w:t>of the</w:t>
      </w:r>
      <w:r w:rsidR="00856527" w:rsidRPr="0041256C">
        <w:t xml:space="preserve"> actions taken </w:t>
      </w:r>
      <w:r w:rsidR="002E098F" w:rsidRPr="0041256C">
        <w:t xml:space="preserve">to date </w:t>
      </w:r>
      <w:r w:rsidR="00856527" w:rsidRPr="0041256C">
        <w:t xml:space="preserve">by the Administration’s “Campaign to Cut Waste”; </w:t>
      </w:r>
      <w:r w:rsidR="005611E0" w:rsidRPr="0041256C">
        <w:t xml:space="preserve">and </w:t>
      </w:r>
      <w:r w:rsidR="00856527" w:rsidRPr="0041256C">
        <w:t>(2)</w:t>
      </w:r>
      <w:r w:rsidR="005611E0" w:rsidRPr="0041256C">
        <w:t xml:space="preserve"> </w:t>
      </w:r>
      <w:r w:rsidR="002E098F" w:rsidRPr="0041256C">
        <w:t xml:space="preserve">announce </w:t>
      </w:r>
      <w:r w:rsidR="00D164EA" w:rsidRPr="0041256C">
        <w:t>the Campaign</w:t>
      </w:r>
      <w:r w:rsidR="002E098F" w:rsidRPr="0041256C">
        <w:t>’s current initiative to eliminate excessive spending on government sponsored conferences.  To assist the Administration with this process</w:t>
      </w:r>
      <w:r w:rsidRPr="0041256C">
        <w:t>,</w:t>
      </w:r>
      <w:r w:rsidR="002E098F" w:rsidRPr="0041256C">
        <w:t xml:space="preserve"> </w:t>
      </w:r>
      <w:r w:rsidR="005611E0" w:rsidRPr="0041256C">
        <w:t>Department</w:t>
      </w:r>
      <w:r w:rsidRPr="0041256C">
        <w:t xml:space="preserve">s were directed to </w:t>
      </w:r>
      <w:r w:rsidR="005611E0" w:rsidRPr="0041256C">
        <w:t>conduct a thorough review of the</w:t>
      </w:r>
      <w:r w:rsidR="00D164EA" w:rsidRPr="0041256C">
        <w:t>ir</w:t>
      </w:r>
      <w:r w:rsidR="005611E0" w:rsidRPr="0041256C">
        <w:t xml:space="preserve"> </w:t>
      </w:r>
      <w:r w:rsidR="0008199D" w:rsidRPr="0041256C">
        <w:t xml:space="preserve">current </w:t>
      </w:r>
      <w:r w:rsidR="005611E0" w:rsidRPr="0041256C">
        <w:t xml:space="preserve">policies and controls </w:t>
      </w:r>
      <w:r w:rsidR="00D164EA" w:rsidRPr="0041256C">
        <w:t xml:space="preserve">governing </w:t>
      </w:r>
      <w:r w:rsidR="005611E0" w:rsidRPr="0041256C">
        <w:t>conference-related activities and expenses to a</w:t>
      </w:r>
      <w:r w:rsidR="00C44181" w:rsidRPr="0041256C">
        <w:t>ssess</w:t>
      </w:r>
      <w:r w:rsidR="005611E0" w:rsidRPr="0041256C">
        <w:t xml:space="preserve"> if there are measures in place to eliminate wasteful spending on conferences.</w:t>
      </w:r>
      <w:r w:rsidR="00DD1AF0" w:rsidRPr="0041256C">
        <w:t xml:space="preserve">  </w:t>
      </w:r>
    </w:p>
    <w:p w:rsidR="00D164EA" w:rsidRPr="0041256C" w:rsidRDefault="000D7600" w:rsidP="00420CFF">
      <w:r>
        <w:t xml:space="preserve">The January 3, 2012 policy on the use of appropriated funds for conferences and meeting space implements HHS’ policies and establishes its internal controls on this spending in accordance with the OMB memorandum as well as </w:t>
      </w:r>
      <w:r w:rsidR="00C203C6" w:rsidRPr="00AF005E">
        <w:t xml:space="preserve">Executive Order on </w:t>
      </w:r>
      <w:r w:rsidR="00C203C6" w:rsidRPr="00AF005E">
        <w:rPr>
          <w:bCs/>
        </w:rPr>
        <w:t>Promoting Efficient Spending (</w:t>
      </w:r>
      <w:hyperlink r:id="rId9" w:history="1">
        <w:r w:rsidR="00C203C6" w:rsidRPr="00AF005E">
          <w:rPr>
            <w:rStyle w:val="Hyperlink"/>
            <w:bCs/>
          </w:rPr>
          <w:t>E</w:t>
        </w:r>
        <w:r w:rsidR="00C203C6" w:rsidRPr="00AF005E">
          <w:rPr>
            <w:rStyle w:val="Hyperlink"/>
            <w:bCs/>
          </w:rPr>
          <w:t>O</w:t>
        </w:r>
        <w:r w:rsidR="00C203C6" w:rsidRPr="00AF005E">
          <w:rPr>
            <w:rStyle w:val="Hyperlink"/>
            <w:bCs/>
          </w:rPr>
          <w:t xml:space="preserve"> </w:t>
        </w:r>
        <w:r w:rsidR="00C203C6">
          <w:rPr>
            <w:rStyle w:val="Hyperlink"/>
            <w:bCs/>
          </w:rPr>
          <w:t>13589</w:t>
        </w:r>
      </w:hyperlink>
      <w:r w:rsidR="00C203C6" w:rsidRPr="00AF005E">
        <w:rPr>
          <w:bCs/>
        </w:rPr>
        <w:t>)</w:t>
      </w:r>
      <w:r w:rsidR="00C203C6">
        <w:rPr>
          <w:bCs/>
        </w:rPr>
        <w:t>,</w:t>
      </w:r>
      <w:r>
        <w:t xml:space="preserve"> which </w:t>
      </w:r>
      <w:r w:rsidR="00C203C6">
        <w:t>informs agencies to</w:t>
      </w:r>
      <w:r w:rsidR="00C203C6" w:rsidRPr="00C203C6">
        <w:t xml:space="preserve"> make all appropriate efforts to conduct business and host or sponsor conferences in space controlled by the Federal Government, wherever practicable and cost effective</w:t>
      </w:r>
      <w:r>
        <w:t>.</w:t>
      </w:r>
    </w:p>
    <w:p w:rsidR="00023D39" w:rsidRDefault="00023D39" w:rsidP="00810888">
      <w:pPr>
        <w:spacing w:after="0" w:line="240" w:lineRule="auto"/>
        <w:rPr>
          <w:rFonts w:cs="Times New Roman"/>
          <w:b/>
          <w:szCs w:val="24"/>
        </w:rPr>
      </w:pPr>
    </w:p>
    <w:p w:rsidR="00D3265F" w:rsidRPr="00420CFF" w:rsidRDefault="00D3265F" w:rsidP="00810888">
      <w:pPr>
        <w:pStyle w:val="ListParagraph"/>
        <w:keepNext/>
        <w:keepLines/>
        <w:numPr>
          <w:ilvl w:val="0"/>
          <w:numId w:val="6"/>
        </w:numPr>
        <w:spacing w:after="0" w:line="240" w:lineRule="auto"/>
        <w:ind w:left="360"/>
        <w:rPr>
          <w:rStyle w:val="Strong"/>
        </w:rPr>
      </w:pPr>
      <w:r w:rsidRPr="00420CFF">
        <w:rPr>
          <w:rStyle w:val="Strong"/>
        </w:rPr>
        <w:t xml:space="preserve">Does this </w:t>
      </w:r>
      <w:r w:rsidR="000D7600" w:rsidRPr="00420CFF">
        <w:rPr>
          <w:rStyle w:val="Strong"/>
        </w:rPr>
        <w:t>policy</w:t>
      </w:r>
      <w:r w:rsidRPr="00420CFF">
        <w:rPr>
          <w:rStyle w:val="Strong"/>
        </w:rPr>
        <w:t xml:space="preserve"> apply only to “discretionary funds”?</w:t>
      </w:r>
    </w:p>
    <w:p w:rsidR="00D3265F" w:rsidRDefault="00D3265F" w:rsidP="00810888">
      <w:pPr>
        <w:keepNext/>
        <w:keepLines/>
        <w:spacing w:after="0" w:line="240" w:lineRule="auto"/>
      </w:pPr>
    </w:p>
    <w:p w:rsidR="000D7600" w:rsidRPr="00B5285D" w:rsidRDefault="000D7600" w:rsidP="00420CFF">
      <w:r>
        <w:t>The policy applies</w:t>
      </w:r>
      <w:r w:rsidRPr="00B5285D">
        <w:t xml:space="preserve"> </w:t>
      </w:r>
      <w:r w:rsidRPr="00420CFF">
        <w:rPr>
          <w:rStyle w:val="IntenseQuoteChar"/>
        </w:rPr>
        <w:t>to all new obligations</w:t>
      </w:r>
      <w:r w:rsidRPr="00D61AF3">
        <w:t xml:space="preserve"> and</w:t>
      </w:r>
      <w:r>
        <w:t xml:space="preserve"> </w:t>
      </w:r>
      <w:r w:rsidRPr="00420CFF">
        <w:rPr>
          <w:rStyle w:val="IntenseQuoteChar"/>
        </w:rPr>
        <w:t>all funds appropriated by Congress</w:t>
      </w:r>
      <w:r w:rsidRPr="00B5285D">
        <w:t xml:space="preserve"> (whether from an annual appropriation, multi-year appropriation, appropriated user fee, mandatory appropriation, gift funds, or reimbursements </w:t>
      </w:r>
      <w:r>
        <w:t>from such appropriations, etc.).</w:t>
      </w:r>
    </w:p>
    <w:p w:rsidR="00FC3A40" w:rsidRPr="00420CFF" w:rsidRDefault="00FC3A40" w:rsidP="00810888">
      <w:pPr>
        <w:pStyle w:val="ListParagraph"/>
        <w:keepNext/>
        <w:keepLines/>
        <w:numPr>
          <w:ilvl w:val="0"/>
          <w:numId w:val="6"/>
        </w:numPr>
        <w:spacing w:after="0" w:line="240" w:lineRule="auto"/>
        <w:ind w:left="360"/>
        <w:rPr>
          <w:rStyle w:val="Strong"/>
        </w:rPr>
      </w:pPr>
      <w:r w:rsidRPr="00420CFF">
        <w:rPr>
          <w:rStyle w:val="Strong"/>
        </w:rPr>
        <w:t xml:space="preserve">Does this </w:t>
      </w:r>
      <w:r w:rsidR="00C203C6" w:rsidRPr="00420CFF">
        <w:rPr>
          <w:rStyle w:val="Strong"/>
        </w:rPr>
        <w:t>policy</w:t>
      </w:r>
      <w:r w:rsidRPr="00420CFF">
        <w:rPr>
          <w:rStyle w:val="Strong"/>
        </w:rPr>
        <w:t xml:space="preserve"> apply to contracts</w:t>
      </w:r>
      <w:r w:rsidR="00012AA5" w:rsidRPr="00420CFF">
        <w:rPr>
          <w:rStyle w:val="Strong"/>
        </w:rPr>
        <w:t xml:space="preserve">, </w:t>
      </w:r>
      <w:r w:rsidRPr="00420CFF">
        <w:rPr>
          <w:rStyle w:val="Strong"/>
        </w:rPr>
        <w:t>grants</w:t>
      </w:r>
      <w:r w:rsidR="00012AA5" w:rsidRPr="00420CFF">
        <w:rPr>
          <w:rStyle w:val="Strong"/>
        </w:rPr>
        <w:t>, or cooperative agreements</w:t>
      </w:r>
      <w:r w:rsidRPr="00420CFF">
        <w:rPr>
          <w:rStyle w:val="Strong"/>
        </w:rPr>
        <w:t xml:space="preserve"> that were awarded prior to </w:t>
      </w:r>
      <w:r w:rsidR="00012AA5" w:rsidRPr="00420CFF">
        <w:rPr>
          <w:rStyle w:val="Strong"/>
        </w:rPr>
        <w:t>January 3, 2012</w:t>
      </w:r>
      <w:r w:rsidRPr="00420CFF">
        <w:rPr>
          <w:rStyle w:val="Strong"/>
        </w:rPr>
        <w:t>?</w:t>
      </w:r>
    </w:p>
    <w:p w:rsidR="00FC3A40" w:rsidRDefault="00FC3A40" w:rsidP="00810888">
      <w:pPr>
        <w:keepNext/>
        <w:keepLines/>
        <w:spacing w:after="0" w:line="240" w:lineRule="auto"/>
        <w:rPr>
          <w:rFonts w:cs="Times New Roman"/>
          <w:szCs w:val="24"/>
        </w:rPr>
      </w:pPr>
    </w:p>
    <w:p w:rsidR="00FC3A40" w:rsidRPr="00420CFF" w:rsidRDefault="00FC3A40" w:rsidP="00420CFF">
      <w:pPr>
        <w:keepNext/>
        <w:keepLines/>
        <w:spacing w:after="0" w:line="240" w:lineRule="auto"/>
        <w:rPr>
          <w:rFonts w:cs="Times New Roman"/>
          <w:szCs w:val="24"/>
        </w:rPr>
      </w:pPr>
      <w:r w:rsidRPr="00420CFF">
        <w:rPr>
          <w:rFonts w:cs="Times New Roman"/>
          <w:szCs w:val="24"/>
        </w:rPr>
        <w:t xml:space="preserve">This </w:t>
      </w:r>
      <w:r w:rsidR="00C203C6" w:rsidRPr="00420CFF">
        <w:rPr>
          <w:rFonts w:cs="Times New Roman"/>
          <w:szCs w:val="24"/>
        </w:rPr>
        <w:t>policy</w:t>
      </w:r>
      <w:r w:rsidRPr="00420CFF">
        <w:rPr>
          <w:rFonts w:cs="Times New Roman"/>
          <w:szCs w:val="24"/>
        </w:rPr>
        <w:t xml:space="preserve"> does not apply to any prior contract, grant, or cooperative agreement where funds had already been obligated prior to the </w:t>
      </w:r>
      <w:r w:rsidR="000D7600" w:rsidRPr="00420CFF">
        <w:rPr>
          <w:rFonts w:cs="Times New Roman"/>
          <w:szCs w:val="24"/>
        </w:rPr>
        <w:t>policy</w:t>
      </w:r>
      <w:r w:rsidRPr="00420CFF">
        <w:rPr>
          <w:rFonts w:cs="Times New Roman"/>
          <w:szCs w:val="24"/>
        </w:rPr>
        <w:t xml:space="preserve">.  The </w:t>
      </w:r>
      <w:r w:rsidR="00C203C6" w:rsidRPr="00420CFF">
        <w:rPr>
          <w:rFonts w:cs="Times New Roman"/>
          <w:szCs w:val="24"/>
        </w:rPr>
        <w:t>policy</w:t>
      </w:r>
      <w:r w:rsidRPr="00420CFF">
        <w:rPr>
          <w:rFonts w:cs="Times New Roman"/>
          <w:szCs w:val="24"/>
        </w:rPr>
        <w:t xml:space="preserve"> would apply to the obligation of any additional funds</w:t>
      </w:r>
      <w:r w:rsidR="00012AA5" w:rsidRPr="00420CFF">
        <w:rPr>
          <w:rFonts w:cs="Times New Roman"/>
          <w:szCs w:val="24"/>
        </w:rPr>
        <w:t xml:space="preserve"> after January 3, 2012</w:t>
      </w:r>
      <w:r w:rsidR="001014CD" w:rsidRPr="00420CFF">
        <w:rPr>
          <w:rFonts w:cs="Times New Roman"/>
          <w:szCs w:val="24"/>
        </w:rPr>
        <w:t>, such as a new task order or option exercise under existing contracts or funded continuation of a grant</w:t>
      </w:r>
      <w:r w:rsidRPr="00420CFF">
        <w:rPr>
          <w:rFonts w:cs="Times New Roman"/>
          <w:szCs w:val="24"/>
        </w:rPr>
        <w:t>.</w:t>
      </w:r>
    </w:p>
    <w:p w:rsidR="00FC3A40" w:rsidRDefault="00FC3A40" w:rsidP="00810888">
      <w:pPr>
        <w:spacing w:after="0" w:line="240" w:lineRule="auto"/>
        <w:rPr>
          <w:rFonts w:cs="Times New Roman"/>
          <w:b/>
          <w:szCs w:val="24"/>
        </w:rPr>
      </w:pPr>
    </w:p>
    <w:p w:rsidR="00D3265F" w:rsidRPr="00420CFF" w:rsidRDefault="00780F30" w:rsidP="00810888">
      <w:pPr>
        <w:pStyle w:val="ListParagraph"/>
        <w:numPr>
          <w:ilvl w:val="0"/>
          <w:numId w:val="6"/>
        </w:numPr>
        <w:spacing w:after="0" w:line="240" w:lineRule="auto"/>
        <w:ind w:left="360"/>
        <w:rPr>
          <w:rStyle w:val="Strong"/>
        </w:rPr>
      </w:pPr>
      <w:r w:rsidRPr="00420CFF">
        <w:rPr>
          <w:rStyle w:val="Strong"/>
        </w:rPr>
        <w:t>For</w:t>
      </w:r>
      <w:r w:rsidR="00D3265F" w:rsidRPr="00420CFF">
        <w:rPr>
          <w:rStyle w:val="Strong"/>
        </w:rPr>
        <w:t xml:space="preserve"> co-sponsor</w:t>
      </w:r>
      <w:r w:rsidRPr="00420CFF">
        <w:rPr>
          <w:rStyle w:val="Strong"/>
        </w:rPr>
        <w:t xml:space="preserve">ed </w:t>
      </w:r>
      <w:r w:rsidR="00D3265F" w:rsidRPr="00420CFF">
        <w:rPr>
          <w:rStyle w:val="Strong"/>
        </w:rPr>
        <w:t>conferences</w:t>
      </w:r>
      <w:r w:rsidRPr="00420CFF">
        <w:rPr>
          <w:rStyle w:val="Strong"/>
        </w:rPr>
        <w:t>, do the approval and reporting requirements apply to HHS’ funded amount or the total of all sponsors</w:t>
      </w:r>
      <w:r w:rsidR="00D3265F" w:rsidRPr="00420CFF">
        <w:rPr>
          <w:rStyle w:val="Strong"/>
        </w:rPr>
        <w:t xml:space="preserve">? </w:t>
      </w:r>
    </w:p>
    <w:p w:rsidR="00D3265F" w:rsidRDefault="00D3265F" w:rsidP="00810888">
      <w:pPr>
        <w:spacing w:after="0" w:line="240" w:lineRule="auto"/>
        <w:ind w:left="360"/>
        <w:rPr>
          <w:rFonts w:cs="Times New Roman"/>
          <w:szCs w:val="24"/>
        </w:rPr>
      </w:pPr>
    </w:p>
    <w:p w:rsidR="00D3265F" w:rsidRPr="00420CFF" w:rsidRDefault="00780F30" w:rsidP="00420CFF">
      <w:pPr>
        <w:spacing w:after="0" w:line="240" w:lineRule="auto"/>
        <w:rPr>
          <w:rFonts w:cs="Times New Roman"/>
          <w:szCs w:val="24"/>
        </w:rPr>
      </w:pPr>
      <w:r w:rsidRPr="00420CFF">
        <w:rPr>
          <w:rFonts w:cs="Times New Roman"/>
          <w:szCs w:val="24"/>
        </w:rPr>
        <w:lastRenderedPageBreak/>
        <w:t>The requirements apply to the HHS funded amount</w:t>
      </w:r>
      <w:r w:rsidR="00FC3A40" w:rsidRPr="00420CFF">
        <w:rPr>
          <w:rFonts w:cs="Times New Roman"/>
          <w:szCs w:val="24"/>
        </w:rPr>
        <w:t>.</w:t>
      </w:r>
    </w:p>
    <w:p w:rsidR="00D3265F" w:rsidRDefault="00D3265F" w:rsidP="00810888">
      <w:pPr>
        <w:spacing w:after="0" w:line="240" w:lineRule="auto"/>
        <w:rPr>
          <w:rFonts w:cs="Times New Roman"/>
          <w:b/>
          <w:szCs w:val="24"/>
        </w:rPr>
      </w:pPr>
    </w:p>
    <w:p w:rsidR="001014CD" w:rsidRPr="00420CFF" w:rsidRDefault="001014CD" w:rsidP="001014CD">
      <w:pPr>
        <w:pStyle w:val="ListParagraph"/>
        <w:numPr>
          <w:ilvl w:val="0"/>
          <w:numId w:val="6"/>
        </w:numPr>
        <w:spacing w:after="0" w:line="240" w:lineRule="auto"/>
        <w:ind w:left="360"/>
        <w:rPr>
          <w:rStyle w:val="Strong"/>
        </w:rPr>
      </w:pPr>
      <w:r w:rsidRPr="00420CFF">
        <w:rPr>
          <w:rStyle w:val="Strong"/>
        </w:rPr>
        <w:t>Does this policy apply to conferences sponsored or funded by other departments; agencies or organizations that HHS Federal employees are attending?</w:t>
      </w:r>
    </w:p>
    <w:p w:rsidR="001014CD" w:rsidRDefault="001014CD" w:rsidP="001014CD">
      <w:pPr>
        <w:spacing w:after="0" w:line="240" w:lineRule="auto"/>
        <w:ind w:left="360"/>
        <w:rPr>
          <w:rFonts w:cs="Times New Roman"/>
          <w:szCs w:val="24"/>
        </w:rPr>
      </w:pPr>
    </w:p>
    <w:p w:rsidR="000D7A3F" w:rsidRDefault="001014CD" w:rsidP="000D7A3F">
      <w:pPr>
        <w:spacing w:after="0" w:line="240" w:lineRule="auto"/>
        <w:rPr>
          <w:rFonts w:cs="Times New Roman"/>
          <w:szCs w:val="24"/>
        </w:rPr>
      </w:pPr>
      <w:r w:rsidRPr="00420CFF">
        <w:rPr>
          <w:rFonts w:cs="Times New Roman"/>
          <w:szCs w:val="24"/>
        </w:rPr>
        <w:t xml:space="preserve">No, </w:t>
      </w:r>
      <w:r w:rsidR="00012AA5" w:rsidRPr="00420CFF">
        <w:rPr>
          <w:rFonts w:cs="Times New Roman"/>
          <w:szCs w:val="24"/>
        </w:rPr>
        <w:t xml:space="preserve">the approval and reporting requirements do </w:t>
      </w:r>
      <w:r w:rsidRPr="00420CFF">
        <w:rPr>
          <w:rFonts w:cs="Times New Roman"/>
          <w:szCs w:val="24"/>
        </w:rPr>
        <w:t>apply to conferences sponsored or funded by other departments; agencies or organizations that HHS Federal employees are attending.</w:t>
      </w:r>
    </w:p>
    <w:p w:rsidR="001014CD" w:rsidRPr="0041256C" w:rsidRDefault="000D7A3F" w:rsidP="000D7A3F">
      <w:pPr>
        <w:spacing w:after="0" w:line="240" w:lineRule="auto"/>
        <w:rPr>
          <w:rFonts w:cs="Times New Roman"/>
          <w:szCs w:val="24"/>
        </w:rPr>
      </w:pPr>
      <w:r>
        <w:rPr>
          <w:rFonts w:cs="Times New Roman"/>
          <w:szCs w:val="24"/>
        </w:rPr>
        <w:t xml:space="preserve"> </w:t>
      </w:r>
      <w:bookmarkStart w:id="0" w:name="_GoBack"/>
      <w:bookmarkEnd w:id="0"/>
    </w:p>
    <w:p w:rsidR="001014CD" w:rsidRPr="00420CFF" w:rsidRDefault="001014CD" w:rsidP="001014CD">
      <w:pPr>
        <w:pStyle w:val="ListParagraph"/>
        <w:numPr>
          <w:ilvl w:val="0"/>
          <w:numId w:val="6"/>
        </w:numPr>
        <w:spacing w:after="0" w:line="240" w:lineRule="auto"/>
        <w:ind w:left="360"/>
        <w:rPr>
          <w:rStyle w:val="Strong"/>
        </w:rPr>
      </w:pPr>
      <w:r w:rsidRPr="00420CFF">
        <w:rPr>
          <w:rStyle w:val="Strong"/>
        </w:rPr>
        <w:t>What steps should an OPDIV/STAFFDIV employee responsible for a meeting or conference take if approval has not been granted before the meeting or conference is due to begin?</w:t>
      </w:r>
    </w:p>
    <w:p w:rsidR="001014CD" w:rsidRPr="00351666" w:rsidRDefault="001014CD" w:rsidP="001014CD">
      <w:pPr>
        <w:spacing w:after="0" w:line="240" w:lineRule="auto"/>
        <w:rPr>
          <w:rFonts w:cs="Times New Roman"/>
          <w:szCs w:val="24"/>
        </w:rPr>
      </w:pPr>
    </w:p>
    <w:p w:rsidR="001014CD" w:rsidRPr="00420CFF" w:rsidRDefault="001014CD" w:rsidP="00420CFF">
      <w:pPr>
        <w:spacing w:after="0" w:line="240" w:lineRule="auto"/>
        <w:rPr>
          <w:rFonts w:cs="Times New Roman"/>
          <w:szCs w:val="24"/>
        </w:rPr>
      </w:pPr>
      <w:r w:rsidRPr="00420CFF">
        <w:rPr>
          <w:rFonts w:cs="Times New Roman"/>
          <w:szCs w:val="24"/>
        </w:rPr>
        <w:t xml:space="preserve">Since this approval is required prior to obligating any new funds, HHS’ agencies must take steps to ensure that it does not obligate funds until approval is received. </w:t>
      </w:r>
    </w:p>
    <w:p w:rsidR="00012AA5" w:rsidRPr="00351666" w:rsidRDefault="00012AA5" w:rsidP="001014CD">
      <w:pPr>
        <w:pStyle w:val="ListParagraph"/>
        <w:spacing w:after="0" w:line="240" w:lineRule="auto"/>
        <w:ind w:left="360"/>
        <w:rPr>
          <w:rFonts w:cs="Times New Roman"/>
          <w:szCs w:val="24"/>
        </w:rPr>
      </w:pPr>
    </w:p>
    <w:p w:rsidR="00012AA5" w:rsidRPr="00420CFF" w:rsidRDefault="00012AA5" w:rsidP="00012AA5">
      <w:pPr>
        <w:pStyle w:val="ListParagraph"/>
        <w:numPr>
          <w:ilvl w:val="0"/>
          <w:numId w:val="6"/>
        </w:numPr>
        <w:spacing w:after="0" w:line="240" w:lineRule="auto"/>
        <w:ind w:left="360"/>
        <w:rPr>
          <w:rStyle w:val="Strong"/>
        </w:rPr>
      </w:pPr>
      <w:r w:rsidRPr="00420CFF">
        <w:rPr>
          <w:rStyle w:val="Strong"/>
        </w:rPr>
        <w:t>How is the term “Conference” defined for the purposes of this policy?</w:t>
      </w:r>
    </w:p>
    <w:p w:rsidR="00012AA5" w:rsidRDefault="00012AA5" w:rsidP="00012AA5">
      <w:pPr>
        <w:spacing w:after="0" w:line="240" w:lineRule="auto"/>
        <w:ind w:left="360"/>
        <w:rPr>
          <w:rFonts w:cs="Times New Roman"/>
          <w:szCs w:val="24"/>
        </w:rPr>
      </w:pPr>
    </w:p>
    <w:p w:rsidR="00012AA5" w:rsidRDefault="00012AA5" w:rsidP="00420CFF">
      <w:pPr>
        <w:pStyle w:val="ListParagraph"/>
        <w:widowControl w:val="0"/>
        <w:numPr>
          <w:ilvl w:val="0"/>
          <w:numId w:val="7"/>
        </w:numPr>
        <w:autoSpaceDE w:val="0"/>
        <w:autoSpaceDN w:val="0"/>
        <w:adjustRightInd w:val="0"/>
        <w:spacing w:after="0" w:line="240" w:lineRule="auto"/>
      </w:pPr>
      <w:r w:rsidRPr="001D02A6">
        <w:t xml:space="preserve">A </w:t>
      </w:r>
      <w:r w:rsidRPr="00420CFF">
        <w:rPr>
          <w:bCs/>
        </w:rPr>
        <w:t xml:space="preserve">conference </w:t>
      </w:r>
      <w:r w:rsidRPr="00C06D12">
        <w:t xml:space="preserve">is a symposium, seminar, workshop, </w:t>
      </w:r>
      <w:r>
        <w:t xml:space="preserve">advisory committee meeting </w:t>
      </w:r>
      <w:r w:rsidRPr="00C06D12">
        <w:t xml:space="preserve">or any other organized and formal meeting, whether conducted face-to-face or via the Internet, where individuals assemble (or meet virtually) to exchange information and views or explore or clarify a defined subject, problem, or area of knowledge, whether or not a published </w:t>
      </w:r>
      <w:r>
        <w:t>report results from such meeting</w:t>
      </w:r>
      <w:r w:rsidRPr="001D02A6">
        <w:t xml:space="preserve">. </w:t>
      </w:r>
    </w:p>
    <w:p w:rsidR="00012AA5" w:rsidRDefault="00012AA5" w:rsidP="00420CFF">
      <w:pPr>
        <w:pStyle w:val="ListParagraph"/>
        <w:widowControl w:val="0"/>
        <w:numPr>
          <w:ilvl w:val="0"/>
          <w:numId w:val="7"/>
        </w:numPr>
        <w:autoSpaceDE w:val="0"/>
        <w:autoSpaceDN w:val="0"/>
        <w:adjustRightInd w:val="0"/>
        <w:spacing w:after="0" w:line="240" w:lineRule="auto"/>
      </w:pPr>
      <w:r w:rsidRPr="001D02A6">
        <w:t xml:space="preserve">A </w:t>
      </w:r>
      <w:r w:rsidRPr="00420CFF">
        <w:rPr>
          <w:bCs/>
        </w:rPr>
        <w:t>meeting where a gathering discusses general matters</w:t>
      </w:r>
      <w:r w:rsidRPr="00C06D12">
        <w:t xml:space="preserve"> as part of a normal course of doing business is not considered a conference</w:t>
      </w:r>
      <w:r>
        <w:t>.</w:t>
      </w:r>
    </w:p>
    <w:p w:rsidR="001014CD" w:rsidRDefault="001014CD" w:rsidP="001014CD">
      <w:pPr>
        <w:spacing w:after="0" w:line="240" w:lineRule="auto"/>
        <w:rPr>
          <w:rFonts w:cs="Times New Roman"/>
          <w:b/>
          <w:szCs w:val="24"/>
        </w:rPr>
      </w:pPr>
    </w:p>
    <w:p w:rsidR="000D7600" w:rsidRPr="00420CFF" w:rsidRDefault="00780F30" w:rsidP="000D7600">
      <w:pPr>
        <w:pStyle w:val="ListParagraph"/>
        <w:numPr>
          <w:ilvl w:val="0"/>
          <w:numId w:val="6"/>
        </w:numPr>
        <w:spacing w:after="0" w:line="240" w:lineRule="auto"/>
        <w:ind w:left="360"/>
        <w:rPr>
          <w:rStyle w:val="Strong"/>
        </w:rPr>
      </w:pPr>
      <w:r w:rsidRPr="00420CFF">
        <w:rPr>
          <w:rStyle w:val="Strong"/>
        </w:rPr>
        <w:t>Can you clarify the approval and reporting requirements</w:t>
      </w:r>
      <w:r w:rsidR="000D7600" w:rsidRPr="00420CFF">
        <w:rPr>
          <w:rStyle w:val="Strong"/>
        </w:rPr>
        <w:t xml:space="preserve">? </w:t>
      </w:r>
    </w:p>
    <w:p w:rsidR="000D7600" w:rsidRDefault="000D7600" w:rsidP="000D7600">
      <w:pPr>
        <w:spacing w:after="0" w:line="240" w:lineRule="auto"/>
        <w:ind w:left="360"/>
        <w:rPr>
          <w:rFonts w:cs="Times New Roman"/>
          <w:szCs w:val="24"/>
        </w:rPr>
      </w:pPr>
    </w:p>
    <w:p w:rsidR="000D7600" w:rsidRDefault="00780F30" w:rsidP="00123EE9">
      <w:pPr>
        <w:pStyle w:val="ListParagraph"/>
        <w:spacing w:after="0" w:line="240" w:lineRule="auto"/>
        <w:ind w:left="360"/>
        <w:rPr>
          <w:rFonts w:cs="Times New Roman"/>
          <w:szCs w:val="24"/>
        </w:rPr>
      </w:pPr>
      <w:r>
        <w:rPr>
          <w:rFonts w:cs="Times New Roman"/>
          <w:szCs w:val="24"/>
        </w:rPr>
        <w:t>The following table assists in indicating when approval and reporting requirements apply:</w:t>
      </w:r>
    </w:p>
    <w:p w:rsidR="00780F30" w:rsidRDefault="00780F30" w:rsidP="00123EE9">
      <w:pPr>
        <w:pStyle w:val="ListParagraph"/>
        <w:spacing w:after="0" w:line="240" w:lineRule="auto"/>
        <w:ind w:left="360"/>
        <w:rPr>
          <w:rFonts w:cs="Times New Roman"/>
          <w:szCs w:val="24"/>
        </w:rPr>
      </w:pPr>
    </w:p>
    <w:tbl>
      <w:tblPr>
        <w:tblStyle w:val="TableGrid"/>
        <w:tblW w:w="0" w:type="auto"/>
        <w:tblInd w:w="360" w:type="dxa"/>
        <w:tblLook w:val="04A0" w:firstRow="1" w:lastRow="0" w:firstColumn="1" w:lastColumn="0" w:noHBand="0" w:noVBand="1"/>
        <w:tblCaption w:val="Event Description, Approval Requirement, Reporting Requirement"/>
      </w:tblPr>
      <w:tblGrid>
        <w:gridCol w:w="5418"/>
        <w:gridCol w:w="1899"/>
        <w:gridCol w:w="1899"/>
      </w:tblGrid>
      <w:tr w:rsidR="00780F30" w:rsidRPr="00092999" w:rsidTr="000D7A3F">
        <w:trPr>
          <w:tblHeader/>
        </w:trPr>
        <w:tc>
          <w:tcPr>
            <w:tcW w:w="5418" w:type="dxa"/>
            <w:vAlign w:val="center"/>
          </w:tcPr>
          <w:p w:rsidR="00780F30" w:rsidRPr="00420CFF" w:rsidRDefault="001014CD" w:rsidP="001014CD">
            <w:pPr>
              <w:pStyle w:val="ListParagraph"/>
              <w:ind w:left="0"/>
              <w:jc w:val="center"/>
              <w:rPr>
                <w:rStyle w:val="Strong"/>
              </w:rPr>
            </w:pPr>
            <w:r w:rsidRPr="00420CFF">
              <w:rPr>
                <w:rStyle w:val="Strong"/>
              </w:rPr>
              <w:t>Event Description</w:t>
            </w:r>
          </w:p>
        </w:tc>
        <w:tc>
          <w:tcPr>
            <w:tcW w:w="1899" w:type="dxa"/>
          </w:tcPr>
          <w:p w:rsidR="00780F30" w:rsidRPr="00420CFF" w:rsidRDefault="00780F30" w:rsidP="00092999">
            <w:pPr>
              <w:pStyle w:val="ListParagraph"/>
              <w:ind w:left="0"/>
              <w:jc w:val="center"/>
              <w:rPr>
                <w:rStyle w:val="Strong"/>
              </w:rPr>
            </w:pPr>
            <w:r w:rsidRPr="00420CFF">
              <w:rPr>
                <w:rStyle w:val="Strong"/>
              </w:rPr>
              <w:t>Approval Requirement</w:t>
            </w:r>
          </w:p>
        </w:tc>
        <w:tc>
          <w:tcPr>
            <w:tcW w:w="1899" w:type="dxa"/>
          </w:tcPr>
          <w:p w:rsidR="00780F30" w:rsidRPr="00420CFF" w:rsidRDefault="00780F30" w:rsidP="00092999">
            <w:pPr>
              <w:pStyle w:val="ListParagraph"/>
              <w:ind w:left="0"/>
              <w:jc w:val="center"/>
              <w:rPr>
                <w:rStyle w:val="Strong"/>
              </w:rPr>
            </w:pPr>
            <w:r w:rsidRPr="00420CFF">
              <w:rPr>
                <w:rStyle w:val="Strong"/>
              </w:rPr>
              <w:t>Reporting Requirement</w:t>
            </w:r>
          </w:p>
        </w:tc>
      </w:tr>
      <w:tr w:rsidR="00780F30" w:rsidRPr="00092999" w:rsidTr="00012AA5">
        <w:tc>
          <w:tcPr>
            <w:tcW w:w="5418" w:type="dxa"/>
          </w:tcPr>
          <w:p w:rsidR="00780F30" w:rsidRPr="00092999" w:rsidRDefault="000D7A3F" w:rsidP="000D7A3F">
            <w:pPr>
              <w:pStyle w:val="ListParagraph"/>
              <w:ind w:left="0"/>
              <w:rPr>
                <w:rFonts w:cs="Times New Roman"/>
                <w:szCs w:val="24"/>
              </w:rPr>
            </w:pPr>
            <w:r>
              <w:rPr>
                <w:rFonts w:cs="Times New Roman"/>
                <w:szCs w:val="24"/>
              </w:rPr>
              <w:t>Meetings in Federal Space</w:t>
            </w:r>
            <w:r w:rsidR="001014CD">
              <w:rPr>
                <w:rFonts w:cs="Times New Roman"/>
                <w:szCs w:val="24"/>
              </w:rPr>
              <w:t xml:space="preserve"> </w:t>
            </w:r>
            <w:r w:rsidR="00780F30" w:rsidRPr="00092999">
              <w:rPr>
                <w:rFonts w:cs="Times New Roman"/>
                <w:szCs w:val="24"/>
              </w:rPr>
              <w:t>- No HHS Funds Required</w:t>
            </w:r>
            <w:r w:rsidR="00D0409F">
              <w:rPr>
                <w:rFonts w:cs="Times New Roman"/>
                <w:szCs w:val="24"/>
              </w:rPr>
              <w:t>/Obligated</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No</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No</w:t>
            </w:r>
          </w:p>
        </w:tc>
      </w:tr>
      <w:tr w:rsidR="00780F30" w:rsidRPr="00092999" w:rsidTr="00012AA5">
        <w:tc>
          <w:tcPr>
            <w:tcW w:w="5418" w:type="dxa"/>
          </w:tcPr>
          <w:p w:rsidR="00780F30" w:rsidRPr="00092999" w:rsidRDefault="00780F30" w:rsidP="000D7A3F">
            <w:pPr>
              <w:pStyle w:val="ListParagraph"/>
              <w:ind w:left="0"/>
              <w:rPr>
                <w:rFonts w:cs="Times New Roman"/>
                <w:szCs w:val="24"/>
              </w:rPr>
            </w:pPr>
            <w:r w:rsidRPr="00092999">
              <w:rPr>
                <w:rFonts w:cs="Times New Roman"/>
                <w:szCs w:val="24"/>
              </w:rPr>
              <w:t>Meetings in Federal Space</w:t>
            </w:r>
            <w:r w:rsidR="001014CD">
              <w:rPr>
                <w:rFonts w:cs="Times New Roman"/>
                <w:szCs w:val="24"/>
              </w:rPr>
              <w:t xml:space="preserve"> </w:t>
            </w:r>
            <w:r w:rsidRPr="00092999">
              <w:rPr>
                <w:rFonts w:cs="Times New Roman"/>
                <w:szCs w:val="24"/>
              </w:rPr>
              <w:t xml:space="preserve">- HHS Funds </w:t>
            </w:r>
            <w:r w:rsidR="00D0409F" w:rsidRPr="00092999">
              <w:rPr>
                <w:rFonts w:cs="Times New Roman"/>
                <w:szCs w:val="24"/>
              </w:rPr>
              <w:t>Required</w:t>
            </w:r>
            <w:r w:rsidR="00D0409F">
              <w:rPr>
                <w:rFonts w:cs="Times New Roman"/>
                <w:szCs w:val="24"/>
              </w:rPr>
              <w:t>/Obligated</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No</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No</w:t>
            </w:r>
          </w:p>
        </w:tc>
      </w:tr>
      <w:tr w:rsidR="00780F30" w:rsidRPr="00092999" w:rsidTr="00012AA5">
        <w:tc>
          <w:tcPr>
            <w:tcW w:w="5418" w:type="dxa"/>
          </w:tcPr>
          <w:p w:rsidR="00780F30" w:rsidRPr="00092999" w:rsidRDefault="00780F30" w:rsidP="000D7A3F">
            <w:pPr>
              <w:pStyle w:val="ListParagraph"/>
              <w:ind w:left="0"/>
              <w:rPr>
                <w:rFonts w:cs="Times New Roman"/>
                <w:szCs w:val="24"/>
              </w:rPr>
            </w:pPr>
            <w:r w:rsidRPr="00092999">
              <w:rPr>
                <w:rFonts w:cs="Times New Roman"/>
                <w:szCs w:val="24"/>
              </w:rPr>
              <w:t>Meetings in Non-Federal Space</w:t>
            </w:r>
            <w:r w:rsidR="001014CD">
              <w:rPr>
                <w:rFonts w:cs="Times New Roman"/>
                <w:szCs w:val="24"/>
              </w:rPr>
              <w:t xml:space="preserve"> </w:t>
            </w:r>
            <w:r w:rsidRPr="00092999">
              <w:rPr>
                <w:rFonts w:cs="Times New Roman"/>
                <w:szCs w:val="24"/>
              </w:rPr>
              <w:t xml:space="preserve">- No HHS Funds </w:t>
            </w:r>
            <w:r w:rsidR="00D0409F" w:rsidRPr="00092999">
              <w:rPr>
                <w:rFonts w:cs="Times New Roman"/>
                <w:szCs w:val="24"/>
              </w:rPr>
              <w:t>Required</w:t>
            </w:r>
            <w:r w:rsidR="00D0409F">
              <w:rPr>
                <w:rFonts w:cs="Times New Roman"/>
                <w:szCs w:val="24"/>
              </w:rPr>
              <w:t>/Obligated</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No</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No</w:t>
            </w:r>
          </w:p>
        </w:tc>
      </w:tr>
      <w:tr w:rsidR="00780F30" w:rsidRPr="00092999" w:rsidTr="00012AA5">
        <w:tc>
          <w:tcPr>
            <w:tcW w:w="5418" w:type="dxa"/>
          </w:tcPr>
          <w:p w:rsidR="00780F30" w:rsidRPr="00092999" w:rsidRDefault="00780F30" w:rsidP="000D7A3F">
            <w:pPr>
              <w:pStyle w:val="ListParagraph"/>
              <w:ind w:left="0"/>
              <w:rPr>
                <w:rFonts w:cs="Times New Roman"/>
                <w:szCs w:val="24"/>
              </w:rPr>
            </w:pPr>
            <w:r w:rsidRPr="00092999">
              <w:rPr>
                <w:rFonts w:cs="Times New Roman"/>
                <w:szCs w:val="24"/>
              </w:rPr>
              <w:t>Meetings in Non-Federal Space</w:t>
            </w:r>
            <w:r w:rsidR="001014CD">
              <w:rPr>
                <w:rFonts w:cs="Times New Roman"/>
                <w:szCs w:val="24"/>
              </w:rPr>
              <w:t xml:space="preserve"> </w:t>
            </w:r>
            <w:r w:rsidRPr="00092999">
              <w:rPr>
                <w:rFonts w:cs="Times New Roman"/>
                <w:szCs w:val="24"/>
              </w:rPr>
              <w:t xml:space="preserve">- HHS Funds </w:t>
            </w:r>
            <w:r w:rsidR="00D0409F" w:rsidRPr="00092999">
              <w:rPr>
                <w:rFonts w:cs="Times New Roman"/>
                <w:szCs w:val="24"/>
              </w:rPr>
              <w:t>Required</w:t>
            </w:r>
            <w:r w:rsidR="00D0409F">
              <w:rPr>
                <w:rFonts w:cs="Times New Roman"/>
                <w:szCs w:val="24"/>
              </w:rPr>
              <w:t>/Obligated</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Yes</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Yes</w:t>
            </w:r>
          </w:p>
        </w:tc>
      </w:tr>
      <w:tr w:rsidR="001014CD" w:rsidRPr="00092999" w:rsidTr="00012AA5">
        <w:tc>
          <w:tcPr>
            <w:tcW w:w="5418" w:type="dxa"/>
          </w:tcPr>
          <w:p w:rsidR="001014CD" w:rsidRPr="00092999" w:rsidRDefault="001014CD" w:rsidP="000D7A3F">
            <w:pPr>
              <w:pStyle w:val="ListParagraph"/>
              <w:ind w:left="0"/>
              <w:rPr>
                <w:rFonts w:cs="Times New Roman"/>
                <w:szCs w:val="24"/>
              </w:rPr>
            </w:pPr>
            <w:r>
              <w:rPr>
                <w:rFonts w:cs="Times New Roman"/>
                <w:szCs w:val="24"/>
              </w:rPr>
              <w:t>Conferences with no HHS-Funds obligated</w:t>
            </w:r>
            <w:r w:rsidR="00012AA5">
              <w:rPr>
                <w:rFonts w:cs="Times New Roman"/>
                <w:szCs w:val="24"/>
              </w:rPr>
              <w:t xml:space="preserve"> </w:t>
            </w:r>
            <w:r>
              <w:rPr>
                <w:rFonts w:cs="Times New Roman"/>
                <w:szCs w:val="24"/>
              </w:rPr>
              <w:t>(other than Federal staff salaries and travel)</w:t>
            </w:r>
          </w:p>
        </w:tc>
        <w:tc>
          <w:tcPr>
            <w:tcW w:w="1899" w:type="dxa"/>
            <w:vAlign w:val="center"/>
          </w:tcPr>
          <w:p w:rsidR="001014CD" w:rsidRDefault="001014CD" w:rsidP="00092999">
            <w:pPr>
              <w:pStyle w:val="ListParagraph"/>
              <w:ind w:left="0"/>
              <w:jc w:val="center"/>
              <w:rPr>
                <w:rFonts w:cs="Times New Roman"/>
                <w:szCs w:val="24"/>
              </w:rPr>
            </w:pPr>
            <w:r>
              <w:rPr>
                <w:rFonts w:cs="Times New Roman"/>
                <w:szCs w:val="24"/>
              </w:rPr>
              <w:t>No</w:t>
            </w:r>
          </w:p>
        </w:tc>
        <w:tc>
          <w:tcPr>
            <w:tcW w:w="1899" w:type="dxa"/>
            <w:vAlign w:val="center"/>
          </w:tcPr>
          <w:p w:rsidR="001014CD" w:rsidRDefault="001014CD" w:rsidP="00092999">
            <w:pPr>
              <w:pStyle w:val="ListParagraph"/>
              <w:ind w:left="0"/>
              <w:jc w:val="center"/>
              <w:rPr>
                <w:rFonts w:cs="Times New Roman"/>
                <w:szCs w:val="24"/>
              </w:rPr>
            </w:pPr>
            <w:r>
              <w:rPr>
                <w:rFonts w:cs="Times New Roman"/>
                <w:szCs w:val="24"/>
              </w:rPr>
              <w:t>No</w:t>
            </w:r>
          </w:p>
        </w:tc>
      </w:tr>
      <w:tr w:rsidR="00780F30" w:rsidRPr="00092999" w:rsidTr="00012AA5">
        <w:tc>
          <w:tcPr>
            <w:tcW w:w="5418" w:type="dxa"/>
          </w:tcPr>
          <w:p w:rsidR="00780F30" w:rsidRPr="00092999" w:rsidRDefault="00780F30" w:rsidP="00123EE9">
            <w:pPr>
              <w:pStyle w:val="ListParagraph"/>
              <w:ind w:left="0"/>
              <w:rPr>
                <w:rFonts w:cs="Times New Roman"/>
                <w:szCs w:val="24"/>
              </w:rPr>
            </w:pPr>
            <w:r w:rsidRPr="00092999">
              <w:rPr>
                <w:rFonts w:cs="Times New Roman"/>
                <w:szCs w:val="24"/>
              </w:rPr>
              <w:t>Conferences in Federal Space</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Yes</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Yes</w:t>
            </w:r>
          </w:p>
        </w:tc>
      </w:tr>
      <w:tr w:rsidR="00780F30" w:rsidRPr="00092999" w:rsidTr="00012AA5">
        <w:tc>
          <w:tcPr>
            <w:tcW w:w="5418" w:type="dxa"/>
          </w:tcPr>
          <w:p w:rsidR="00780F30" w:rsidRPr="00092999" w:rsidRDefault="00780F30" w:rsidP="00123EE9">
            <w:pPr>
              <w:pStyle w:val="ListParagraph"/>
              <w:ind w:left="0"/>
              <w:rPr>
                <w:rFonts w:cs="Times New Roman"/>
                <w:szCs w:val="24"/>
              </w:rPr>
            </w:pPr>
            <w:r w:rsidRPr="00092999">
              <w:rPr>
                <w:rFonts w:cs="Times New Roman"/>
                <w:szCs w:val="24"/>
              </w:rPr>
              <w:t>Conferences in Non-Federal Space</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Yes</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Yes</w:t>
            </w:r>
          </w:p>
        </w:tc>
      </w:tr>
      <w:tr w:rsidR="00780F30" w:rsidRPr="00092999" w:rsidTr="00012AA5">
        <w:tc>
          <w:tcPr>
            <w:tcW w:w="5418" w:type="dxa"/>
          </w:tcPr>
          <w:p w:rsidR="00780F30" w:rsidRPr="00092999" w:rsidRDefault="00092999" w:rsidP="00123EE9">
            <w:pPr>
              <w:pStyle w:val="ListParagraph"/>
              <w:ind w:left="0"/>
              <w:rPr>
                <w:rFonts w:cs="Times New Roman"/>
                <w:szCs w:val="24"/>
              </w:rPr>
            </w:pPr>
            <w:r w:rsidRPr="00092999">
              <w:rPr>
                <w:rFonts w:cs="Times New Roman"/>
                <w:szCs w:val="24"/>
              </w:rPr>
              <w:t>Grants where Conferences are the Primary Purpose</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Yes</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Yes</w:t>
            </w:r>
          </w:p>
        </w:tc>
      </w:tr>
      <w:tr w:rsidR="00780F30" w:rsidRPr="00092999" w:rsidTr="00012AA5">
        <w:tc>
          <w:tcPr>
            <w:tcW w:w="5418" w:type="dxa"/>
          </w:tcPr>
          <w:p w:rsidR="00780F30" w:rsidRPr="00092999" w:rsidRDefault="00092999" w:rsidP="00092999">
            <w:pPr>
              <w:pStyle w:val="ListParagraph"/>
              <w:ind w:left="0"/>
              <w:rPr>
                <w:rFonts w:cs="Times New Roman"/>
                <w:szCs w:val="24"/>
              </w:rPr>
            </w:pPr>
            <w:r w:rsidRPr="00092999">
              <w:rPr>
                <w:rFonts w:cs="Times New Roman"/>
                <w:szCs w:val="24"/>
              </w:rPr>
              <w:t>Grants where Conferences are an Ancillary or Minor Part</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No</w:t>
            </w:r>
          </w:p>
        </w:tc>
        <w:tc>
          <w:tcPr>
            <w:tcW w:w="1899" w:type="dxa"/>
            <w:vAlign w:val="center"/>
          </w:tcPr>
          <w:p w:rsidR="00780F30" w:rsidRPr="00092999" w:rsidRDefault="00092999" w:rsidP="00092999">
            <w:pPr>
              <w:pStyle w:val="ListParagraph"/>
              <w:ind w:left="0"/>
              <w:jc w:val="center"/>
              <w:rPr>
                <w:rFonts w:cs="Times New Roman"/>
                <w:szCs w:val="24"/>
              </w:rPr>
            </w:pPr>
            <w:r>
              <w:rPr>
                <w:rFonts w:cs="Times New Roman"/>
                <w:szCs w:val="24"/>
              </w:rPr>
              <w:t>No</w:t>
            </w:r>
          </w:p>
        </w:tc>
      </w:tr>
    </w:tbl>
    <w:p w:rsidR="00023D39" w:rsidRDefault="00023D39" w:rsidP="00810888">
      <w:pPr>
        <w:spacing w:after="0" w:line="240" w:lineRule="auto"/>
        <w:rPr>
          <w:rFonts w:cs="Times New Roman"/>
          <w:b/>
          <w:szCs w:val="24"/>
        </w:rPr>
      </w:pPr>
    </w:p>
    <w:p w:rsidR="001014CD" w:rsidRPr="00420CFF" w:rsidRDefault="001014CD" w:rsidP="00810888">
      <w:pPr>
        <w:pStyle w:val="ListParagraph"/>
        <w:numPr>
          <w:ilvl w:val="0"/>
          <w:numId w:val="6"/>
        </w:numPr>
        <w:spacing w:after="0" w:line="240" w:lineRule="auto"/>
        <w:ind w:left="360"/>
        <w:rPr>
          <w:rStyle w:val="Strong"/>
        </w:rPr>
      </w:pPr>
      <w:r w:rsidRPr="00420CFF">
        <w:rPr>
          <w:rStyle w:val="Strong"/>
        </w:rPr>
        <w:t>Are Advisory Committee/Council Meetings</w:t>
      </w:r>
      <w:r w:rsidR="00012AA5" w:rsidRPr="00420CFF">
        <w:rPr>
          <w:rStyle w:val="Strong"/>
        </w:rPr>
        <w:t>, Peer Review Meetings, Evaluation Board or Panel Meetings, Boards of Scientific Council, Technical Assistance Meetings, or Grantee or Contract Kickoff Meetings considered conferences</w:t>
      </w:r>
      <w:r w:rsidRPr="00420CFF">
        <w:rPr>
          <w:rStyle w:val="Strong"/>
        </w:rPr>
        <w:t xml:space="preserve"> or meetings?</w:t>
      </w:r>
    </w:p>
    <w:p w:rsidR="001014CD" w:rsidRPr="001014CD" w:rsidRDefault="001014CD" w:rsidP="001014CD">
      <w:pPr>
        <w:pStyle w:val="ListParagraph"/>
        <w:spacing w:after="0" w:line="240" w:lineRule="auto"/>
        <w:ind w:left="360"/>
        <w:rPr>
          <w:rFonts w:cs="Times New Roman"/>
          <w:szCs w:val="24"/>
        </w:rPr>
      </w:pPr>
    </w:p>
    <w:p w:rsidR="001014CD" w:rsidRPr="00420CFF" w:rsidRDefault="001014CD" w:rsidP="00420CFF">
      <w:pPr>
        <w:spacing w:after="0" w:line="240" w:lineRule="auto"/>
        <w:rPr>
          <w:rFonts w:cs="Times New Roman"/>
          <w:szCs w:val="24"/>
        </w:rPr>
      </w:pPr>
      <w:r w:rsidRPr="00420CFF">
        <w:rPr>
          <w:rFonts w:cs="Times New Roman"/>
          <w:szCs w:val="24"/>
        </w:rPr>
        <w:t>These are considered meetings for the purpose of this policy</w:t>
      </w:r>
      <w:r w:rsidR="00012AA5" w:rsidRPr="00420CFF">
        <w:rPr>
          <w:rFonts w:cs="Times New Roman"/>
          <w:szCs w:val="24"/>
        </w:rPr>
        <w:t>.</w:t>
      </w:r>
    </w:p>
    <w:p w:rsidR="001014CD" w:rsidRPr="001014CD" w:rsidRDefault="001014CD" w:rsidP="001014CD">
      <w:pPr>
        <w:pStyle w:val="ListParagraph"/>
        <w:spacing w:after="0" w:line="240" w:lineRule="auto"/>
        <w:ind w:left="360"/>
        <w:rPr>
          <w:rFonts w:cs="Times New Roman"/>
          <w:szCs w:val="24"/>
        </w:rPr>
      </w:pPr>
    </w:p>
    <w:p w:rsidR="00696822" w:rsidRPr="00420CFF" w:rsidRDefault="00696822" w:rsidP="00810888">
      <w:pPr>
        <w:pStyle w:val="ListParagraph"/>
        <w:numPr>
          <w:ilvl w:val="0"/>
          <w:numId w:val="6"/>
        </w:numPr>
        <w:spacing w:after="0" w:line="240" w:lineRule="auto"/>
        <w:ind w:left="360"/>
        <w:rPr>
          <w:rStyle w:val="Strong"/>
        </w:rPr>
      </w:pPr>
      <w:r w:rsidRPr="00420CFF">
        <w:rPr>
          <w:rStyle w:val="Strong"/>
        </w:rPr>
        <w:t xml:space="preserve">Does this </w:t>
      </w:r>
      <w:r w:rsidR="00C203C6" w:rsidRPr="00420CFF">
        <w:rPr>
          <w:rStyle w:val="Strong"/>
        </w:rPr>
        <w:t>policy</w:t>
      </w:r>
      <w:r w:rsidR="00023D39" w:rsidRPr="00420CFF">
        <w:rPr>
          <w:rStyle w:val="Strong"/>
        </w:rPr>
        <w:t xml:space="preserve"> apply to formal training</w:t>
      </w:r>
      <w:r w:rsidRPr="00420CFF">
        <w:rPr>
          <w:rStyle w:val="Strong"/>
        </w:rPr>
        <w:t>?</w:t>
      </w:r>
      <w:r w:rsidR="00AF7A19" w:rsidRPr="00420CFF">
        <w:rPr>
          <w:rStyle w:val="Strong"/>
        </w:rPr>
        <w:t xml:space="preserve"> </w:t>
      </w:r>
    </w:p>
    <w:p w:rsidR="00DD1AF0" w:rsidRDefault="00DD1AF0" w:rsidP="00810888">
      <w:pPr>
        <w:spacing w:after="0" w:line="240" w:lineRule="auto"/>
        <w:ind w:left="360"/>
        <w:rPr>
          <w:rFonts w:cs="Times New Roman"/>
          <w:szCs w:val="24"/>
        </w:rPr>
      </w:pPr>
    </w:p>
    <w:p w:rsidR="00023D39" w:rsidRPr="00420CFF" w:rsidRDefault="000D7600" w:rsidP="00420CFF">
      <w:pPr>
        <w:spacing w:after="0" w:line="240" w:lineRule="auto"/>
        <w:rPr>
          <w:rFonts w:cs="Times New Roman"/>
          <w:szCs w:val="24"/>
        </w:rPr>
      </w:pPr>
      <w:r w:rsidRPr="00420CFF">
        <w:rPr>
          <w:rFonts w:cs="Times New Roman"/>
          <w:szCs w:val="24"/>
        </w:rPr>
        <w:t>T</w:t>
      </w:r>
      <w:r w:rsidR="00023D39" w:rsidRPr="00420CFF">
        <w:rPr>
          <w:rFonts w:cs="Times New Roman"/>
          <w:szCs w:val="24"/>
        </w:rPr>
        <w:t xml:space="preserve">his </w:t>
      </w:r>
      <w:r w:rsidR="00C203C6" w:rsidRPr="00420CFF">
        <w:rPr>
          <w:rFonts w:cs="Times New Roman"/>
          <w:szCs w:val="24"/>
        </w:rPr>
        <w:t>policy</w:t>
      </w:r>
      <w:r w:rsidR="00023D39" w:rsidRPr="00420CFF">
        <w:rPr>
          <w:rFonts w:cs="Times New Roman"/>
          <w:szCs w:val="24"/>
        </w:rPr>
        <w:t xml:space="preserve"> does not apply to </w:t>
      </w:r>
      <w:r w:rsidR="00E541CD" w:rsidRPr="00420CFF">
        <w:rPr>
          <w:rFonts w:cs="Times New Roman"/>
          <w:szCs w:val="24"/>
        </w:rPr>
        <w:t>non-HHS funded conferences that HHS personnel attend as training, such as those that require a registration fee and would be approved using</w:t>
      </w:r>
      <w:r w:rsidR="00E541CD" w:rsidRPr="00420CFF">
        <w:rPr>
          <w:rFonts w:cs="Arial"/>
        </w:rPr>
        <w:t xml:space="preserve"> the SF-182, Authorization, Agreement and Certification of Training, by the appropriate training official</w:t>
      </w:r>
      <w:r w:rsidR="00023D39" w:rsidRPr="00420CFF">
        <w:rPr>
          <w:rFonts w:cs="Times New Roman"/>
          <w:szCs w:val="24"/>
        </w:rPr>
        <w:t>.</w:t>
      </w:r>
    </w:p>
    <w:p w:rsidR="00D3265F" w:rsidRDefault="00D3265F" w:rsidP="00810888">
      <w:pPr>
        <w:spacing w:after="0" w:line="240" w:lineRule="auto"/>
        <w:rPr>
          <w:rFonts w:cs="Times New Roman"/>
          <w:b/>
          <w:szCs w:val="24"/>
        </w:rPr>
      </w:pPr>
    </w:p>
    <w:p w:rsidR="00726E99" w:rsidRPr="00420CFF" w:rsidRDefault="00726E99" w:rsidP="00810888">
      <w:pPr>
        <w:pStyle w:val="ListParagraph"/>
        <w:numPr>
          <w:ilvl w:val="0"/>
          <w:numId w:val="6"/>
        </w:numPr>
        <w:spacing w:after="0" w:line="240" w:lineRule="auto"/>
        <w:ind w:left="360"/>
        <w:rPr>
          <w:rStyle w:val="Strong"/>
        </w:rPr>
      </w:pPr>
      <w:r w:rsidRPr="00420CFF">
        <w:rPr>
          <w:rStyle w:val="Strong"/>
        </w:rPr>
        <w:t xml:space="preserve">Will </w:t>
      </w:r>
      <w:r w:rsidR="00C203C6" w:rsidRPr="00420CFF">
        <w:rPr>
          <w:rStyle w:val="Strong"/>
        </w:rPr>
        <w:t>policy</w:t>
      </w:r>
      <w:r w:rsidRPr="00420CFF">
        <w:rPr>
          <w:rStyle w:val="Strong"/>
        </w:rPr>
        <w:t xml:space="preserve"> be provided regarding required content, format, etc. of a </w:t>
      </w:r>
      <w:r w:rsidR="00C203C6" w:rsidRPr="00420CFF">
        <w:rPr>
          <w:rStyle w:val="Strong"/>
        </w:rPr>
        <w:t>conference approval request</w:t>
      </w:r>
      <w:r w:rsidRPr="00420CFF">
        <w:rPr>
          <w:rStyle w:val="Strong"/>
        </w:rPr>
        <w:t>?</w:t>
      </w:r>
    </w:p>
    <w:p w:rsidR="00726E99" w:rsidRPr="00E51678" w:rsidRDefault="00726E99" w:rsidP="00810888">
      <w:pPr>
        <w:spacing w:after="0" w:line="240" w:lineRule="auto"/>
        <w:rPr>
          <w:rFonts w:cs="Times New Roman"/>
          <w:b/>
          <w:szCs w:val="24"/>
        </w:rPr>
      </w:pPr>
    </w:p>
    <w:p w:rsidR="00726E99" w:rsidRDefault="00E033AA" w:rsidP="00420CFF">
      <w:pPr>
        <w:spacing w:after="0" w:line="240" w:lineRule="auto"/>
      </w:pPr>
      <w:r w:rsidRPr="00420CFF">
        <w:rPr>
          <w:rFonts w:cs="Times New Roman"/>
          <w:szCs w:val="24"/>
        </w:rPr>
        <w:t>A specific format will not be prescribed.  Rather, e</w:t>
      </w:r>
      <w:r w:rsidR="00C203C6" w:rsidRPr="00420CFF">
        <w:rPr>
          <w:rFonts w:cs="Times New Roman"/>
          <w:szCs w:val="24"/>
        </w:rPr>
        <w:t xml:space="preserve">ach </w:t>
      </w:r>
      <w:r w:rsidR="00D0409F">
        <w:t>OPDIV</w:t>
      </w:r>
      <w:r w:rsidR="00C203C6">
        <w:t xml:space="preserve"> and STAFFDIV </w:t>
      </w:r>
      <w:r>
        <w:t xml:space="preserve">is expected to </w:t>
      </w:r>
      <w:r w:rsidR="00C203C6">
        <w:t>implement internal policies and practices to: (1) ensure consistency across their organizations regarding the documentation and approval of requests to support a conference or acquire meeting/conference space when it requires the obligation of funds, and (2) meet the semi-annual reporting requirements addressed in the policy.</w:t>
      </w:r>
    </w:p>
    <w:p w:rsidR="0041256C" w:rsidRDefault="0041256C" w:rsidP="00C203C6">
      <w:pPr>
        <w:spacing w:after="0" w:line="240" w:lineRule="auto"/>
        <w:rPr>
          <w:rFonts w:cs="Times New Roman"/>
          <w:szCs w:val="24"/>
        </w:rPr>
      </w:pPr>
    </w:p>
    <w:p w:rsidR="00E033AA" w:rsidRPr="00420CFF" w:rsidRDefault="00E033AA" w:rsidP="00E033AA">
      <w:pPr>
        <w:pStyle w:val="ListParagraph"/>
        <w:numPr>
          <w:ilvl w:val="0"/>
          <w:numId w:val="6"/>
        </w:numPr>
        <w:spacing w:after="0" w:line="240" w:lineRule="auto"/>
        <w:ind w:left="360"/>
        <w:rPr>
          <w:rStyle w:val="Strong"/>
        </w:rPr>
      </w:pPr>
      <w:r w:rsidRPr="00420CFF">
        <w:rPr>
          <w:rStyle w:val="Strong"/>
        </w:rPr>
        <w:t>May we change the format of the semi-annual report by having the data requested in the columns vs. rows, and the data for each conference / meeting space displayed across each row vs. down each column?</w:t>
      </w:r>
    </w:p>
    <w:p w:rsidR="00E033AA" w:rsidRPr="00E51678" w:rsidRDefault="00E033AA" w:rsidP="00E033AA">
      <w:pPr>
        <w:spacing w:after="0" w:line="240" w:lineRule="auto"/>
        <w:rPr>
          <w:rFonts w:cs="Times New Roman"/>
          <w:b/>
          <w:szCs w:val="24"/>
        </w:rPr>
      </w:pPr>
    </w:p>
    <w:p w:rsidR="00E033AA" w:rsidRPr="00C203C6" w:rsidRDefault="00E033AA" w:rsidP="00420CFF">
      <w:pPr>
        <w:spacing w:after="0" w:line="240" w:lineRule="auto"/>
        <w:rPr>
          <w:rFonts w:cs="Times New Roman"/>
          <w:szCs w:val="24"/>
        </w:rPr>
      </w:pPr>
      <w:r>
        <w:rPr>
          <w:rFonts w:cs="Times New Roman"/>
          <w:szCs w:val="24"/>
        </w:rPr>
        <w:t>Yes, this is an acceptable approach so long as the data elements shown in Attachment 1-A remain unchanged and in the same order.   OPDIVs and STAFFDIVs may also add other data elements for their own internal purposes, but need not include them in the semi-annual reports.</w:t>
      </w:r>
    </w:p>
    <w:sectPr w:rsidR="00E033AA" w:rsidRPr="00C203C6" w:rsidSect="00FC3A4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E75" w:rsidRDefault="00277E75" w:rsidP="003B42A5">
      <w:pPr>
        <w:spacing w:after="0" w:line="240" w:lineRule="auto"/>
      </w:pPr>
      <w:r>
        <w:separator/>
      </w:r>
    </w:p>
  </w:endnote>
  <w:endnote w:type="continuationSeparator" w:id="0">
    <w:p w:rsidR="00277E75" w:rsidRDefault="00277E75" w:rsidP="003B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91860"/>
      <w:docPartObj>
        <w:docPartGallery w:val="Page Numbers (Bottom of Page)"/>
        <w:docPartUnique/>
      </w:docPartObj>
    </w:sdtPr>
    <w:sdtEndPr/>
    <w:sdtContent>
      <w:p w:rsidR="001014CD" w:rsidRDefault="000D7A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014CD" w:rsidRDefault="00101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E75" w:rsidRDefault="00277E75" w:rsidP="003B42A5">
      <w:pPr>
        <w:spacing w:after="0" w:line="240" w:lineRule="auto"/>
      </w:pPr>
      <w:r>
        <w:separator/>
      </w:r>
    </w:p>
  </w:footnote>
  <w:footnote w:type="continuationSeparator" w:id="0">
    <w:p w:rsidR="00277E75" w:rsidRDefault="00277E75" w:rsidP="003B4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D16"/>
    <w:multiLevelType w:val="hybridMultilevel"/>
    <w:tmpl w:val="556A1A4E"/>
    <w:lvl w:ilvl="0" w:tplc="6C6CE44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57623"/>
    <w:multiLevelType w:val="hybridMultilevel"/>
    <w:tmpl w:val="C104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F72CF"/>
    <w:multiLevelType w:val="hybridMultilevel"/>
    <w:tmpl w:val="010EC32E"/>
    <w:lvl w:ilvl="0" w:tplc="9FC2661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45F5528"/>
    <w:multiLevelType w:val="multilevel"/>
    <w:tmpl w:val="35962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791338"/>
    <w:multiLevelType w:val="multilevel"/>
    <w:tmpl w:val="1778CE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81F0873"/>
    <w:multiLevelType w:val="hybridMultilevel"/>
    <w:tmpl w:val="A894E50E"/>
    <w:lvl w:ilvl="0" w:tplc="E1644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C0"/>
    <w:rsid w:val="00012AA5"/>
    <w:rsid w:val="00013F48"/>
    <w:rsid w:val="00023D39"/>
    <w:rsid w:val="000761C7"/>
    <w:rsid w:val="0008199D"/>
    <w:rsid w:val="00092999"/>
    <w:rsid w:val="000D7600"/>
    <w:rsid w:val="000D7A3F"/>
    <w:rsid w:val="000F54D6"/>
    <w:rsid w:val="001014CD"/>
    <w:rsid w:val="00123EE9"/>
    <w:rsid w:val="00144483"/>
    <w:rsid w:val="00194F23"/>
    <w:rsid w:val="00196BC0"/>
    <w:rsid w:val="00270CA8"/>
    <w:rsid w:val="00277E75"/>
    <w:rsid w:val="002B7B6A"/>
    <w:rsid w:val="002E098F"/>
    <w:rsid w:val="002E4C40"/>
    <w:rsid w:val="002F6C44"/>
    <w:rsid w:val="00303FE3"/>
    <w:rsid w:val="00333514"/>
    <w:rsid w:val="00341D05"/>
    <w:rsid w:val="00351666"/>
    <w:rsid w:val="003A47CC"/>
    <w:rsid w:val="003B42A5"/>
    <w:rsid w:val="003C1F81"/>
    <w:rsid w:val="00405978"/>
    <w:rsid w:val="0041256C"/>
    <w:rsid w:val="00420CFF"/>
    <w:rsid w:val="00470431"/>
    <w:rsid w:val="00485625"/>
    <w:rsid w:val="004A386C"/>
    <w:rsid w:val="0050582A"/>
    <w:rsid w:val="005546FA"/>
    <w:rsid w:val="005611E0"/>
    <w:rsid w:val="005B418C"/>
    <w:rsid w:val="005C2DA4"/>
    <w:rsid w:val="00696822"/>
    <w:rsid w:val="006C022D"/>
    <w:rsid w:val="00724B98"/>
    <w:rsid w:val="00726E99"/>
    <w:rsid w:val="00746D61"/>
    <w:rsid w:val="007557FA"/>
    <w:rsid w:val="0077598F"/>
    <w:rsid w:val="00780F30"/>
    <w:rsid w:val="0080160F"/>
    <w:rsid w:val="00810888"/>
    <w:rsid w:val="00856527"/>
    <w:rsid w:val="00874BA0"/>
    <w:rsid w:val="00881852"/>
    <w:rsid w:val="008D0F4B"/>
    <w:rsid w:val="008F498F"/>
    <w:rsid w:val="00913CCE"/>
    <w:rsid w:val="009771B4"/>
    <w:rsid w:val="0098697F"/>
    <w:rsid w:val="009D5801"/>
    <w:rsid w:val="00A908C3"/>
    <w:rsid w:val="00AB16D5"/>
    <w:rsid w:val="00AC0B2C"/>
    <w:rsid w:val="00AD7CDC"/>
    <w:rsid w:val="00AF7A19"/>
    <w:rsid w:val="00B353A6"/>
    <w:rsid w:val="00B41FB5"/>
    <w:rsid w:val="00B858E4"/>
    <w:rsid w:val="00C203C6"/>
    <w:rsid w:val="00C44181"/>
    <w:rsid w:val="00CB3004"/>
    <w:rsid w:val="00CC1B48"/>
    <w:rsid w:val="00D0409F"/>
    <w:rsid w:val="00D164EA"/>
    <w:rsid w:val="00D3265F"/>
    <w:rsid w:val="00DD1AF0"/>
    <w:rsid w:val="00DD5B1C"/>
    <w:rsid w:val="00DD707A"/>
    <w:rsid w:val="00E033AA"/>
    <w:rsid w:val="00E51678"/>
    <w:rsid w:val="00E541CD"/>
    <w:rsid w:val="00F169F8"/>
    <w:rsid w:val="00F32E3E"/>
    <w:rsid w:val="00FB13DB"/>
    <w:rsid w:val="00FC3A40"/>
    <w:rsid w:val="00FF22CF"/>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F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BC0"/>
    <w:pPr>
      <w:ind w:left="720"/>
      <w:contextualSpacing/>
    </w:pPr>
  </w:style>
  <w:style w:type="character" w:styleId="Hyperlink">
    <w:name w:val="Hyperlink"/>
    <w:basedOn w:val="DefaultParagraphFont"/>
    <w:uiPriority w:val="99"/>
    <w:unhideWhenUsed/>
    <w:rsid w:val="00485625"/>
    <w:rPr>
      <w:color w:val="0000FF" w:themeColor="hyperlink"/>
      <w:u w:val="single"/>
    </w:rPr>
  </w:style>
  <w:style w:type="paragraph" w:styleId="PlainText">
    <w:name w:val="Plain Text"/>
    <w:basedOn w:val="Normal"/>
    <w:link w:val="PlainTextChar"/>
    <w:uiPriority w:val="99"/>
    <w:semiHidden/>
    <w:unhideWhenUsed/>
    <w:rsid w:val="00351666"/>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351666"/>
    <w:rPr>
      <w:rFonts w:ascii="Consolas" w:hAnsi="Consolas" w:cs="Times New Roman"/>
      <w:sz w:val="21"/>
      <w:szCs w:val="21"/>
    </w:rPr>
  </w:style>
  <w:style w:type="paragraph" w:styleId="Header">
    <w:name w:val="header"/>
    <w:basedOn w:val="Normal"/>
    <w:link w:val="HeaderChar"/>
    <w:uiPriority w:val="99"/>
    <w:semiHidden/>
    <w:unhideWhenUsed/>
    <w:rsid w:val="003B42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42A5"/>
  </w:style>
  <w:style w:type="paragraph" w:styleId="Footer">
    <w:name w:val="footer"/>
    <w:basedOn w:val="Normal"/>
    <w:link w:val="FooterChar"/>
    <w:uiPriority w:val="99"/>
    <w:unhideWhenUsed/>
    <w:rsid w:val="003B4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2A5"/>
  </w:style>
  <w:style w:type="table" w:styleId="TableGrid">
    <w:name w:val="Table Grid"/>
    <w:basedOn w:val="TableNormal"/>
    <w:uiPriority w:val="59"/>
    <w:rsid w:val="00780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20CFF"/>
    <w:pPr>
      <w:framePr w:wrap="notBeside" w:vAnchor="text" w:hAnchor="text" w:y="1"/>
      <w:spacing w:after="300" w:line="240" w:lineRule="auto"/>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420CFF"/>
    <w:rPr>
      <w:rFonts w:ascii="Times New Roman" w:eastAsiaTheme="majorEastAsia" w:hAnsi="Times New Roman" w:cstheme="majorBidi"/>
      <w:b/>
      <w:spacing w:val="5"/>
      <w:kern w:val="28"/>
      <w:sz w:val="24"/>
      <w:szCs w:val="52"/>
    </w:rPr>
  </w:style>
  <w:style w:type="character" w:styleId="Strong">
    <w:name w:val="Strong"/>
    <w:basedOn w:val="DefaultParagraphFont"/>
    <w:uiPriority w:val="22"/>
    <w:qFormat/>
    <w:rsid w:val="00420CFF"/>
    <w:rPr>
      <w:rFonts w:ascii="Times New Roman" w:hAnsi="Times New Roman"/>
      <w:b/>
      <w:bCs/>
      <w:sz w:val="24"/>
    </w:rPr>
  </w:style>
  <w:style w:type="character" w:styleId="FollowedHyperlink">
    <w:name w:val="FollowedHyperlink"/>
    <w:basedOn w:val="DefaultParagraphFont"/>
    <w:uiPriority w:val="99"/>
    <w:semiHidden/>
    <w:unhideWhenUsed/>
    <w:rsid w:val="00420CFF"/>
    <w:rPr>
      <w:color w:val="800080" w:themeColor="followedHyperlink"/>
      <w:u w:val="single"/>
    </w:rPr>
  </w:style>
  <w:style w:type="paragraph" w:styleId="IntenseQuote">
    <w:name w:val="Intense Quote"/>
    <w:basedOn w:val="Normal"/>
    <w:next w:val="Normal"/>
    <w:link w:val="IntenseQuoteChar"/>
    <w:uiPriority w:val="30"/>
    <w:qFormat/>
    <w:rsid w:val="00420CFF"/>
    <w:pPr>
      <w:pBdr>
        <w:bottom w:val="single" w:sz="4" w:space="4" w:color="4F81BD" w:themeColor="accent1"/>
      </w:pBdr>
      <w:spacing w:before="200" w:after="280"/>
      <w:ind w:left="936" w:right="936"/>
    </w:pPr>
    <w:rPr>
      <w:bCs/>
      <w:i/>
      <w:iCs/>
      <w:u w:val="single"/>
    </w:rPr>
  </w:style>
  <w:style w:type="character" w:customStyle="1" w:styleId="IntenseQuoteChar">
    <w:name w:val="Intense Quote Char"/>
    <w:basedOn w:val="DefaultParagraphFont"/>
    <w:link w:val="IntenseQuote"/>
    <w:uiPriority w:val="30"/>
    <w:rsid w:val="00420CFF"/>
    <w:rPr>
      <w:rFonts w:ascii="Times New Roman" w:hAnsi="Times New Roman"/>
      <w:bCs/>
      <w:i/>
      <w:iCs/>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F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BC0"/>
    <w:pPr>
      <w:ind w:left="720"/>
      <w:contextualSpacing/>
    </w:pPr>
  </w:style>
  <w:style w:type="character" w:styleId="Hyperlink">
    <w:name w:val="Hyperlink"/>
    <w:basedOn w:val="DefaultParagraphFont"/>
    <w:uiPriority w:val="99"/>
    <w:unhideWhenUsed/>
    <w:rsid w:val="00485625"/>
    <w:rPr>
      <w:color w:val="0000FF" w:themeColor="hyperlink"/>
      <w:u w:val="single"/>
    </w:rPr>
  </w:style>
  <w:style w:type="paragraph" w:styleId="PlainText">
    <w:name w:val="Plain Text"/>
    <w:basedOn w:val="Normal"/>
    <w:link w:val="PlainTextChar"/>
    <w:uiPriority w:val="99"/>
    <w:semiHidden/>
    <w:unhideWhenUsed/>
    <w:rsid w:val="00351666"/>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351666"/>
    <w:rPr>
      <w:rFonts w:ascii="Consolas" w:hAnsi="Consolas" w:cs="Times New Roman"/>
      <w:sz w:val="21"/>
      <w:szCs w:val="21"/>
    </w:rPr>
  </w:style>
  <w:style w:type="paragraph" w:styleId="Header">
    <w:name w:val="header"/>
    <w:basedOn w:val="Normal"/>
    <w:link w:val="HeaderChar"/>
    <w:uiPriority w:val="99"/>
    <w:semiHidden/>
    <w:unhideWhenUsed/>
    <w:rsid w:val="003B42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42A5"/>
  </w:style>
  <w:style w:type="paragraph" w:styleId="Footer">
    <w:name w:val="footer"/>
    <w:basedOn w:val="Normal"/>
    <w:link w:val="FooterChar"/>
    <w:uiPriority w:val="99"/>
    <w:unhideWhenUsed/>
    <w:rsid w:val="003B4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2A5"/>
  </w:style>
  <w:style w:type="table" w:styleId="TableGrid">
    <w:name w:val="Table Grid"/>
    <w:basedOn w:val="TableNormal"/>
    <w:uiPriority w:val="59"/>
    <w:rsid w:val="00780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20CFF"/>
    <w:pPr>
      <w:framePr w:wrap="notBeside" w:vAnchor="text" w:hAnchor="text" w:y="1"/>
      <w:spacing w:after="300" w:line="240" w:lineRule="auto"/>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420CFF"/>
    <w:rPr>
      <w:rFonts w:ascii="Times New Roman" w:eastAsiaTheme="majorEastAsia" w:hAnsi="Times New Roman" w:cstheme="majorBidi"/>
      <w:b/>
      <w:spacing w:val="5"/>
      <w:kern w:val="28"/>
      <w:sz w:val="24"/>
      <w:szCs w:val="52"/>
    </w:rPr>
  </w:style>
  <w:style w:type="character" w:styleId="Strong">
    <w:name w:val="Strong"/>
    <w:basedOn w:val="DefaultParagraphFont"/>
    <w:uiPriority w:val="22"/>
    <w:qFormat/>
    <w:rsid w:val="00420CFF"/>
    <w:rPr>
      <w:rFonts w:ascii="Times New Roman" w:hAnsi="Times New Roman"/>
      <w:b/>
      <w:bCs/>
      <w:sz w:val="24"/>
    </w:rPr>
  </w:style>
  <w:style w:type="character" w:styleId="FollowedHyperlink">
    <w:name w:val="FollowedHyperlink"/>
    <w:basedOn w:val="DefaultParagraphFont"/>
    <w:uiPriority w:val="99"/>
    <w:semiHidden/>
    <w:unhideWhenUsed/>
    <w:rsid w:val="00420CFF"/>
    <w:rPr>
      <w:color w:val="800080" w:themeColor="followedHyperlink"/>
      <w:u w:val="single"/>
    </w:rPr>
  </w:style>
  <w:style w:type="paragraph" w:styleId="IntenseQuote">
    <w:name w:val="Intense Quote"/>
    <w:basedOn w:val="Normal"/>
    <w:next w:val="Normal"/>
    <w:link w:val="IntenseQuoteChar"/>
    <w:uiPriority w:val="30"/>
    <w:qFormat/>
    <w:rsid w:val="00420CFF"/>
    <w:pPr>
      <w:pBdr>
        <w:bottom w:val="single" w:sz="4" w:space="4" w:color="4F81BD" w:themeColor="accent1"/>
      </w:pBdr>
      <w:spacing w:before="200" w:after="280"/>
      <w:ind w:left="936" w:right="936"/>
    </w:pPr>
    <w:rPr>
      <w:bCs/>
      <w:i/>
      <w:iCs/>
      <w:u w:val="single"/>
    </w:rPr>
  </w:style>
  <w:style w:type="character" w:customStyle="1" w:styleId="IntenseQuoteChar">
    <w:name w:val="Intense Quote Char"/>
    <w:basedOn w:val="DefaultParagraphFont"/>
    <w:link w:val="IntenseQuote"/>
    <w:uiPriority w:val="30"/>
    <w:rsid w:val="00420CFF"/>
    <w:rPr>
      <w:rFonts w:ascii="Times New Roman" w:hAnsi="Times New Roman"/>
      <w:bCs/>
      <w:i/>
      <w:i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1236">
      <w:bodyDiv w:val="1"/>
      <w:marLeft w:val="0"/>
      <w:marRight w:val="0"/>
      <w:marTop w:val="0"/>
      <w:marBottom w:val="0"/>
      <w:divBdr>
        <w:top w:val="none" w:sz="0" w:space="0" w:color="auto"/>
        <w:left w:val="none" w:sz="0" w:space="0" w:color="auto"/>
        <w:bottom w:val="none" w:sz="0" w:space="0" w:color="auto"/>
        <w:right w:val="none" w:sz="0" w:space="0" w:color="auto"/>
      </w:divBdr>
    </w:div>
    <w:div w:id="377121361">
      <w:bodyDiv w:val="1"/>
      <w:marLeft w:val="0"/>
      <w:marRight w:val="0"/>
      <w:marTop w:val="0"/>
      <w:marBottom w:val="0"/>
      <w:divBdr>
        <w:top w:val="none" w:sz="0" w:space="0" w:color="auto"/>
        <w:left w:val="none" w:sz="0" w:space="0" w:color="auto"/>
        <w:bottom w:val="none" w:sz="0" w:space="0" w:color="auto"/>
        <w:right w:val="none" w:sz="0" w:space="0" w:color="auto"/>
      </w:divBdr>
    </w:div>
    <w:div w:id="492186072">
      <w:bodyDiv w:val="1"/>
      <w:marLeft w:val="0"/>
      <w:marRight w:val="0"/>
      <w:marTop w:val="0"/>
      <w:marBottom w:val="0"/>
      <w:divBdr>
        <w:top w:val="none" w:sz="0" w:space="0" w:color="auto"/>
        <w:left w:val="none" w:sz="0" w:space="0" w:color="auto"/>
        <w:bottom w:val="none" w:sz="0" w:space="0" w:color="auto"/>
        <w:right w:val="none" w:sz="0" w:space="0" w:color="auto"/>
      </w:divBdr>
    </w:div>
    <w:div w:id="493640834">
      <w:bodyDiv w:val="1"/>
      <w:marLeft w:val="0"/>
      <w:marRight w:val="0"/>
      <w:marTop w:val="0"/>
      <w:marBottom w:val="0"/>
      <w:divBdr>
        <w:top w:val="none" w:sz="0" w:space="0" w:color="auto"/>
        <w:left w:val="none" w:sz="0" w:space="0" w:color="auto"/>
        <w:bottom w:val="none" w:sz="0" w:space="0" w:color="auto"/>
        <w:right w:val="none" w:sz="0" w:space="0" w:color="auto"/>
      </w:divBdr>
    </w:div>
    <w:div w:id="674305266">
      <w:bodyDiv w:val="1"/>
      <w:marLeft w:val="0"/>
      <w:marRight w:val="0"/>
      <w:marTop w:val="0"/>
      <w:marBottom w:val="0"/>
      <w:divBdr>
        <w:top w:val="none" w:sz="0" w:space="0" w:color="auto"/>
        <w:left w:val="none" w:sz="0" w:space="0" w:color="auto"/>
        <w:bottom w:val="none" w:sz="0" w:space="0" w:color="auto"/>
        <w:right w:val="none" w:sz="0" w:space="0" w:color="auto"/>
      </w:divBdr>
    </w:div>
    <w:div w:id="903224282">
      <w:bodyDiv w:val="1"/>
      <w:marLeft w:val="0"/>
      <w:marRight w:val="0"/>
      <w:marTop w:val="0"/>
      <w:marBottom w:val="0"/>
      <w:divBdr>
        <w:top w:val="none" w:sz="0" w:space="0" w:color="auto"/>
        <w:left w:val="none" w:sz="0" w:space="0" w:color="auto"/>
        <w:bottom w:val="none" w:sz="0" w:space="0" w:color="auto"/>
        <w:right w:val="none" w:sz="0" w:space="0" w:color="auto"/>
      </w:divBdr>
    </w:div>
    <w:div w:id="960114328">
      <w:bodyDiv w:val="1"/>
      <w:marLeft w:val="0"/>
      <w:marRight w:val="0"/>
      <w:marTop w:val="0"/>
      <w:marBottom w:val="0"/>
      <w:divBdr>
        <w:top w:val="none" w:sz="0" w:space="0" w:color="auto"/>
        <w:left w:val="none" w:sz="0" w:space="0" w:color="auto"/>
        <w:bottom w:val="none" w:sz="0" w:space="0" w:color="auto"/>
        <w:right w:val="none" w:sz="0" w:space="0" w:color="auto"/>
      </w:divBdr>
    </w:div>
    <w:div w:id="1279139523">
      <w:bodyDiv w:val="1"/>
      <w:marLeft w:val="0"/>
      <w:marRight w:val="0"/>
      <w:marTop w:val="0"/>
      <w:marBottom w:val="0"/>
      <w:divBdr>
        <w:top w:val="none" w:sz="0" w:space="0" w:color="auto"/>
        <w:left w:val="none" w:sz="0" w:space="0" w:color="auto"/>
        <w:bottom w:val="none" w:sz="0" w:space="0" w:color="auto"/>
        <w:right w:val="none" w:sz="0" w:space="0" w:color="auto"/>
      </w:divBdr>
    </w:div>
    <w:div w:id="1459300959">
      <w:bodyDiv w:val="1"/>
      <w:marLeft w:val="0"/>
      <w:marRight w:val="0"/>
      <w:marTop w:val="0"/>
      <w:marBottom w:val="0"/>
      <w:divBdr>
        <w:top w:val="none" w:sz="0" w:space="0" w:color="auto"/>
        <w:left w:val="none" w:sz="0" w:space="0" w:color="auto"/>
        <w:bottom w:val="none" w:sz="0" w:space="0" w:color="auto"/>
        <w:right w:val="none" w:sz="0" w:space="0" w:color="auto"/>
      </w:divBdr>
    </w:div>
    <w:div w:id="2122338241">
      <w:bodyDiv w:val="1"/>
      <w:marLeft w:val="0"/>
      <w:marRight w:val="0"/>
      <w:marTop w:val="0"/>
      <w:marBottom w:val="0"/>
      <w:divBdr>
        <w:top w:val="none" w:sz="0" w:space="0" w:color="auto"/>
        <w:left w:val="none" w:sz="0" w:space="0" w:color="auto"/>
        <w:bottom w:val="none" w:sz="0" w:space="0" w:color="auto"/>
        <w:right w:val="none" w:sz="0" w:space="0" w:color="auto"/>
      </w:divBdr>
      <w:divsChild>
        <w:div w:id="547650068">
          <w:marLeft w:val="0"/>
          <w:marRight w:val="0"/>
          <w:marTop w:val="150"/>
          <w:marBottom w:val="150"/>
          <w:divBdr>
            <w:top w:val="single" w:sz="6" w:space="0" w:color="9B9A7A"/>
            <w:left w:val="single" w:sz="6" w:space="0" w:color="9B9A7A"/>
            <w:bottom w:val="single" w:sz="6" w:space="0" w:color="9B9A7A"/>
            <w:right w:val="single" w:sz="6" w:space="0" w:color="9B9A7A"/>
          </w:divBdr>
          <w:divsChild>
            <w:div w:id="1598252670">
              <w:marLeft w:val="0"/>
              <w:marRight w:val="0"/>
              <w:marTop w:val="0"/>
              <w:marBottom w:val="0"/>
              <w:divBdr>
                <w:top w:val="none" w:sz="0" w:space="0" w:color="auto"/>
                <w:left w:val="none" w:sz="0" w:space="0" w:color="auto"/>
                <w:bottom w:val="none" w:sz="0" w:space="0" w:color="auto"/>
                <w:right w:val="none" w:sz="0" w:space="0" w:color="auto"/>
              </w:divBdr>
              <w:divsChild>
                <w:div w:id="18579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memoranda/2011/m11-35.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hitehouse.gov/the-press-office/2011/11/09/executive-order-promoting-efficient-sp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Questions &amp; Answers HHS Policy on Use of Conferences and Meeting Space 1/16/12opriated Funds for </vt:lpstr>
    </vt:vector>
  </TitlesOfParts>
  <Company>DHHS</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Questions &amp; Answers HHS Policy on Use of Conferences and Meeting Space 1/16/12opriated Funds for </dc:title>
  <dc:subject> Questions &amp; Answers HHS Policy on Use of Conferences and Meeting Space 1/16/12opriated Funds for </dc:subject>
  <dc:creator>HHS</dc:creator>
  <cp:keywords/>
  <dc:description>508 compliant 4/17/2013</dc:description>
  <cp:lastModifiedBy>kaminsks</cp:lastModifiedBy>
  <cp:revision>2</cp:revision>
  <dcterms:created xsi:type="dcterms:W3CDTF">2013-04-17T18:44:00Z</dcterms:created>
  <dcterms:modified xsi:type="dcterms:W3CDTF">2013-04-17T18:44:00Z</dcterms:modified>
</cp:coreProperties>
</file>