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ED8" w:rsidRDefault="00637C61" w:rsidP="009320E3">
      <w:pPr>
        <w:pStyle w:val="Title"/>
      </w:pPr>
      <w:r w:rsidRPr="00327A2B">
        <w:t xml:space="preserve">Office of Acquisition and Logistics Management (OALM) Newsletter 2018 </w:t>
      </w:r>
      <w:r w:rsidR="00737671">
        <w:t>November</w:t>
      </w:r>
      <w:r w:rsidRPr="00327A2B">
        <w:t>/</w:t>
      </w:r>
      <w:r w:rsidR="00737671">
        <w:t>December</w:t>
      </w:r>
    </w:p>
    <w:p w:rsidR="007854C5" w:rsidRPr="00B95576" w:rsidRDefault="007854C5" w:rsidP="007854C5">
      <w:pPr>
        <w:pStyle w:val="Heading1"/>
      </w:pPr>
      <w:r>
        <w:t>The Importance of Conducting Fair and Reasonable Price Determination</w:t>
      </w:r>
    </w:p>
    <w:p w:rsidR="007854C5" w:rsidRPr="00547ABD" w:rsidRDefault="007854C5" w:rsidP="007854C5">
      <w:pPr>
        <w:rPr>
          <w:rFonts w:cs="Times New Roman"/>
          <w:szCs w:val="24"/>
        </w:rPr>
      </w:pPr>
      <w:bookmarkStart w:id="0" w:name="_Hlk531254982"/>
      <w:r w:rsidRPr="00547ABD">
        <w:rPr>
          <w:rFonts w:cs="Times New Roman"/>
          <w:szCs w:val="24"/>
        </w:rPr>
        <w:t>A fair and reasonable price determination is an assessment by the Government that an offeror’s proposed price for a supply or service can be considered “fair and reasonable” on the basis of applying one or more price analysis techniques.  Fair and reasonable price</w:t>
      </w:r>
      <w:r w:rsidR="006563E2">
        <w:rPr>
          <w:rFonts w:cs="Times New Roman"/>
          <w:szCs w:val="24"/>
        </w:rPr>
        <w:t xml:space="preserve"> determination</w:t>
      </w:r>
      <w:r w:rsidRPr="00547ABD">
        <w:rPr>
          <w:rFonts w:cs="Times New Roman"/>
          <w:szCs w:val="24"/>
        </w:rPr>
        <w:t xml:space="preserve"> can also be defined as what a rational person would pay for an item or service under competitive market conditions.</w:t>
      </w:r>
    </w:p>
    <w:p w:rsidR="007854C5" w:rsidRDefault="007854C5" w:rsidP="007854C5">
      <w:pPr>
        <w:rPr>
          <w:rFonts w:cs="Times New Roman"/>
          <w:szCs w:val="24"/>
        </w:rPr>
      </w:pPr>
      <w:r w:rsidRPr="00547ABD">
        <w:rPr>
          <w:rFonts w:cs="Times New Roman"/>
          <w:szCs w:val="24"/>
        </w:rPr>
        <w:t xml:space="preserve">The </w:t>
      </w:r>
      <w:hyperlink r:id="rId8" w:history="1">
        <w:r w:rsidRPr="00547ABD">
          <w:rPr>
            <w:rStyle w:val="Hyperlink"/>
            <w:rFonts w:cs="Times New Roman"/>
            <w:szCs w:val="24"/>
          </w:rPr>
          <w:t>Air Force</w:t>
        </w:r>
      </w:hyperlink>
      <w:r w:rsidR="00F277E7">
        <w:rPr>
          <w:rFonts w:cs="Times New Roman"/>
          <w:szCs w:val="24"/>
        </w:rPr>
        <w:t xml:space="preserve"> spent</w:t>
      </w:r>
      <w:bookmarkStart w:id="1" w:name="_GoBack"/>
      <w:bookmarkEnd w:id="1"/>
      <w:r w:rsidR="00AE34A0">
        <w:rPr>
          <w:rFonts w:cs="Times New Roman"/>
          <w:szCs w:val="24"/>
        </w:rPr>
        <w:t xml:space="preserve"> </w:t>
      </w:r>
      <w:r w:rsidR="00162A9B" w:rsidRPr="00162A9B">
        <w:rPr>
          <w:rFonts w:cs="Times New Roman"/>
          <w:szCs w:val="24"/>
        </w:rPr>
        <w:t>up to $1,280 to replace a single metal coffee mug until it realized</w:t>
      </w:r>
      <w:r w:rsidR="00AE34A0">
        <w:rPr>
          <w:rFonts w:cs="Times New Roman"/>
          <w:szCs w:val="24"/>
        </w:rPr>
        <w:t xml:space="preserve"> the error. Over two years, the Air F</w:t>
      </w:r>
      <w:r w:rsidR="00162A9B" w:rsidRPr="00162A9B">
        <w:rPr>
          <w:rFonts w:cs="Times New Roman"/>
          <w:szCs w:val="24"/>
        </w:rPr>
        <w:t>orce spent $326,785 on 391 mugs.  Had the buyer conducted a fair and reasonable price determination, this extravagance would have been detected earlier.</w:t>
      </w:r>
      <w:r w:rsidR="00162A9B">
        <w:rPr>
          <w:rFonts w:cs="Times New Roman"/>
          <w:szCs w:val="24"/>
        </w:rPr>
        <w:t xml:space="preserve">  </w:t>
      </w:r>
      <w:r w:rsidRPr="00547ABD">
        <w:rPr>
          <w:rFonts w:cs="Times New Roman"/>
          <w:szCs w:val="24"/>
        </w:rPr>
        <w:t xml:space="preserve">The coffee mugs </w:t>
      </w:r>
      <w:r w:rsidR="00542FB3">
        <w:rPr>
          <w:rFonts w:cs="Times New Roman"/>
          <w:szCs w:val="24"/>
        </w:rPr>
        <w:t>were</w:t>
      </w:r>
      <w:r w:rsidRPr="00547ABD">
        <w:rPr>
          <w:rFonts w:cs="Times New Roman"/>
          <w:szCs w:val="24"/>
        </w:rPr>
        <w:t xml:space="preserve"> specially designed</w:t>
      </w:r>
      <w:r w:rsidR="003D1B60">
        <w:rPr>
          <w:rFonts w:cs="Times New Roman"/>
          <w:szCs w:val="24"/>
        </w:rPr>
        <w:t xml:space="preserve"> for air refueling tankers </w:t>
      </w:r>
      <w:r w:rsidRPr="00547ABD">
        <w:rPr>
          <w:rFonts w:cs="Times New Roman"/>
          <w:szCs w:val="24"/>
        </w:rPr>
        <w:t>to make it possible for crew members</w:t>
      </w:r>
      <w:r w:rsidR="003D1B60">
        <w:rPr>
          <w:rFonts w:cs="Times New Roman"/>
          <w:szCs w:val="24"/>
        </w:rPr>
        <w:t xml:space="preserve"> on </w:t>
      </w:r>
      <w:r w:rsidRPr="00547ABD">
        <w:rPr>
          <w:rFonts w:cs="Times New Roman"/>
          <w:szCs w:val="24"/>
        </w:rPr>
        <w:t xml:space="preserve">to warm their drinks during </w:t>
      </w:r>
      <w:r w:rsidR="003D1B60">
        <w:rPr>
          <w:rFonts w:cs="Times New Roman"/>
          <w:szCs w:val="24"/>
        </w:rPr>
        <w:t xml:space="preserve">long </w:t>
      </w:r>
      <w:r w:rsidRPr="00547ABD">
        <w:rPr>
          <w:rFonts w:cs="Times New Roman"/>
          <w:szCs w:val="24"/>
        </w:rPr>
        <w:t>flights</w:t>
      </w:r>
      <w:r w:rsidR="003D1B60">
        <w:rPr>
          <w:rFonts w:cs="Times New Roman"/>
          <w:szCs w:val="24"/>
        </w:rPr>
        <w:t xml:space="preserve">.  </w:t>
      </w:r>
      <w:r w:rsidRPr="00547ABD">
        <w:rPr>
          <w:rFonts w:cs="Times New Roman"/>
          <w:szCs w:val="24"/>
        </w:rPr>
        <w:t>However, due to a design flaw, the ha</w:t>
      </w:r>
      <w:r w:rsidR="00542FB3">
        <w:rPr>
          <w:rFonts w:cs="Times New Roman"/>
          <w:szCs w:val="24"/>
        </w:rPr>
        <w:t>ndle broke</w:t>
      </w:r>
      <w:r w:rsidR="006563E2">
        <w:rPr>
          <w:rFonts w:cs="Times New Roman"/>
          <w:szCs w:val="24"/>
        </w:rPr>
        <w:t xml:space="preserve"> easily when dropped.  </w:t>
      </w:r>
      <w:r w:rsidRPr="00547ABD">
        <w:rPr>
          <w:rFonts w:cs="Times New Roman"/>
          <w:szCs w:val="24"/>
        </w:rPr>
        <w:t xml:space="preserve">As a result, mugs </w:t>
      </w:r>
      <w:r w:rsidR="00542FB3">
        <w:rPr>
          <w:rFonts w:cs="Times New Roman"/>
          <w:szCs w:val="24"/>
        </w:rPr>
        <w:t>were</w:t>
      </w:r>
      <w:r w:rsidRPr="00547ABD">
        <w:rPr>
          <w:rFonts w:cs="Times New Roman"/>
          <w:szCs w:val="24"/>
        </w:rPr>
        <w:t xml:space="preserve"> being replaced despite prices raising exponentially</w:t>
      </w:r>
      <w:r w:rsidR="006563E2">
        <w:rPr>
          <w:rFonts w:cs="Times New Roman"/>
          <w:szCs w:val="24"/>
        </w:rPr>
        <w:t>.</w:t>
      </w:r>
      <w:r w:rsidRPr="00547ABD">
        <w:rPr>
          <w:rFonts w:cs="Times New Roman"/>
          <w:szCs w:val="24"/>
        </w:rPr>
        <w:t xml:space="preserve"> </w:t>
      </w:r>
      <w:r w:rsidR="006563E2">
        <w:rPr>
          <w:rFonts w:cs="Times New Roman"/>
          <w:szCs w:val="24"/>
        </w:rPr>
        <w:t xml:space="preserve"> F</w:t>
      </w:r>
      <w:r w:rsidRPr="00547ABD">
        <w:rPr>
          <w:rFonts w:cs="Times New Roman"/>
          <w:szCs w:val="24"/>
        </w:rPr>
        <w:t xml:space="preserve">ortunately, the Air Force recently established the </w:t>
      </w:r>
      <w:hyperlink r:id="rId9" w:history="1">
        <w:r w:rsidRPr="00547ABD">
          <w:rPr>
            <w:rStyle w:val="Hyperlink"/>
            <w:rFonts w:cs="Times New Roman"/>
            <w:szCs w:val="24"/>
          </w:rPr>
          <w:t>Rapid Sustainment Office (RSO)</w:t>
        </w:r>
      </w:hyperlink>
      <w:r w:rsidRPr="00547ABD">
        <w:rPr>
          <w:rFonts w:cs="Times New Roman"/>
          <w:szCs w:val="24"/>
        </w:rPr>
        <w:t>.  The purpose of RSO is to identify rare replacement parts and develop inexpensive and effective solutions.  To address this issue, the RSO was able to develop a replacement part using a 3D printer for just 50 cents per handle.</w:t>
      </w:r>
    </w:p>
    <w:p w:rsidR="003626B1" w:rsidRDefault="003626B1" w:rsidP="003626B1">
      <w:pPr>
        <w:keepNext/>
        <w:jc w:val="center"/>
      </w:pPr>
      <w:r>
        <w:rPr>
          <w:noProof/>
        </w:rPr>
        <w:drawing>
          <wp:inline distT="0" distB="0" distL="0" distR="0">
            <wp:extent cx="2339399" cy="3505200"/>
            <wp:effectExtent l="0" t="0" r="3810" b="0"/>
            <wp:docPr id="1" name="Picture 1" descr="Photo of the coffee mug purchased by the Air Force" title="Coffee M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ricey hot cup sits on a counter inside a KC-10 Extender at Travis Air Force Base, Calif. The base is working on developing a new handle for the cup, which could save the Air Force thousands. (Tech. Sgt. James Hodgman/Air For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475" cy="3511307"/>
                    </a:xfrm>
                    <a:prstGeom prst="rect">
                      <a:avLst/>
                    </a:prstGeom>
                    <a:noFill/>
                    <a:ln>
                      <a:noFill/>
                    </a:ln>
                  </pic:spPr>
                </pic:pic>
              </a:graphicData>
            </a:graphic>
          </wp:inline>
        </w:drawing>
      </w:r>
    </w:p>
    <w:p w:rsidR="007854C5" w:rsidRPr="00547ABD" w:rsidRDefault="006563E2" w:rsidP="007854C5">
      <w:pPr>
        <w:rPr>
          <w:rFonts w:cs="Times New Roman"/>
          <w:szCs w:val="24"/>
        </w:rPr>
      </w:pPr>
      <w:r>
        <w:rPr>
          <w:rFonts w:cs="Times New Roman"/>
          <w:szCs w:val="24"/>
        </w:rPr>
        <w:t xml:space="preserve">Fair and reasonable price determination is conducted </w:t>
      </w:r>
      <w:r w:rsidR="003D1B60">
        <w:rPr>
          <w:rFonts w:cs="Times New Roman"/>
          <w:szCs w:val="24"/>
        </w:rPr>
        <w:t>to</w:t>
      </w:r>
      <w:r>
        <w:rPr>
          <w:rFonts w:cs="Times New Roman"/>
          <w:szCs w:val="24"/>
        </w:rPr>
        <w:t xml:space="preserve"> prevent </w:t>
      </w:r>
      <w:r w:rsidR="003D1B60">
        <w:rPr>
          <w:rFonts w:cs="Times New Roman"/>
          <w:szCs w:val="24"/>
        </w:rPr>
        <w:t xml:space="preserve">just this type of problem. </w:t>
      </w:r>
      <w:r>
        <w:rPr>
          <w:rFonts w:cs="Times New Roman"/>
          <w:szCs w:val="24"/>
        </w:rPr>
        <w:t xml:space="preserve">As stated earlier, fair and reasonable price determination is what a rational person would pay under competitive market conditions.  No rational person would pay $963 for a coffee mug and an additional $1280 to replace it when damaged.  </w:t>
      </w:r>
      <w:r w:rsidR="007854C5" w:rsidRPr="00547ABD">
        <w:rPr>
          <w:rFonts w:cs="Times New Roman"/>
          <w:szCs w:val="24"/>
        </w:rPr>
        <w:t xml:space="preserve">For your next procurement, be sure to conduct a fair and reasonable price determination in accordance with </w:t>
      </w:r>
      <w:hyperlink r:id="rId11" w:anchor="wp1089505" w:history="1">
        <w:r w:rsidR="007854C5" w:rsidRPr="00547ABD">
          <w:rPr>
            <w:rStyle w:val="Hyperlink"/>
            <w:rFonts w:cs="Times New Roman"/>
            <w:szCs w:val="24"/>
          </w:rPr>
          <w:t>FAR 8.404(d)</w:t>
        </w:r>
      </w:hyperlink>
      <w:r w:rsidR="007854C5" w:rsidRPr="00547ABD">
        <w:rPr>
          <w:rFonts w:cs="Times New Roman"/>
          <w:szCs w:val="24"/>
        </w:rPr>
        <w:t xml:space="preserve">, </w:t>
      </w:r>
      <w:hyperlink r:id="rId12" w:anchor="wp1087414" w:history="1">
        <w:r w:rsidR="007854C5" w:rsidRPr="00547ABD">
          <w:rPr>
            <w:rStyle w:val="Hyperlink"/>
            <w:rFonts w:cs="Times New Roman"/>
            <w:szCs w:val="24"/>
          </w:rPr>
          <w:t>12.209</w:t>
        </w:r>
      </w:hyperlink>
      <w:r w:rsidR="007854C5" w:rsidRPr="00547ABD">
        <w:rPr>
          <w:rFonts w:cs="Times New Roman"/>
          <w:szCs w:val="24"/>
        </w:rPr>
        <w:t xml:space="preserve">, </w:t>
      </w:r>
      <w:hyperlink r:id="rId13" w:anchor="wp1125503" w:history="1">
        <w:r w:rsidR="007854C5" w:rsidRPr="00547ABD">
          <w:rPr>
            <w:rStyle w:val="Hyperlink"/>
            <w:rFonts w:cs="Times New Roman"/>
            <w:szCs w:val="24"/>
          </w:rPr>
          <w:t>13.106-3</w:t>
        </w:r>
      </w:hyperlink>
      <w:r w:rsidR="003D1B60">
        <w:rPr>
          <w:rFonts w:cs="Times New Roman"/>
          <w:szCs w:val="24"/>
        </w:rPr>
        <w:t xml:space="preserve">, </w:t>
      </w:r>
      <w:r w:rsidR="007854C5" w:rsidRPr="00547ABD">
        <w:rPr>
          <w:rFonts w:cs="Times New Roman"/>
          <w:szCs w:val="24"/>
        </w:rPr>
        <w:t xml:space="preserve">as applicable. </w:t>
      </w:r>
    </w:p>
    <w:p w:rsidR="007854C5" w:rsidRPr="009C2A77" w:rsidRDefault="003D1B60" w:rsidP="007854C5">
      <w:pPr>
        <w:rPr>
          <w:rFonts w:cs="Times New Roman"/>
          <w:szCs w:val="24"/>
        </w:rPr>
      </w:pPr>
      <w:r>
        <w:rPr>
          <w:rFonts w:cs="Times New Roman"/>
          <w:szCs w:val="24"/>
        </w:rPr>
        <w:lastRenderedPageBreak/>
        <w:t>To learn more, t</w:t>
      </w:r>
      <w:r w:rsidR="007854C5" w:rsidRPr="00547ABD">
        <w:rPr>
          <w:rFonts w:cs="Times New Roman"/>
          <w:szCs w:val="24"/>
        </w:rPr>
        <w:t>here is a</w:t>
      </w:r>
      <w:r>
        <w:rPr>
          <w:rFonts w:cs="Times New Roman"/>
          <w:szCs w:val="24"/>
        </w:rPr>
        <w:t xml:space="preserve"> </w:t>
      </w:r>
      <w:r w:rsidR="00AE34A0">
        <w:rPr>
          <w:rFonts w:cs="Times New Roman"/>
          <w:szCs w:val="24"/>
        </w:rPr>
        <w:t xml:space="preserve">short, </w:t>
      </w:r>
      <w:r>
        <w:rPr>
          <w:rFonts w:cs="Times New Roman"/>
          <w:szCs w:val="24"/>
        </w:rPr>
        <w:t>free, on-line</w:t>
      </w:r>
      <w:r w:rsidR="00AE34A0">
        <w:rPr>
          <w:rFonts w:cs="Times New Roman"/>
          <w:szCs w:val="24"/>
        </w:rPr>
        <w:t xml:space="preserve"> </w:t>
      </w:r>
      <w:r w:rsidR="007854C5" w:rsidRPr="00547ABD">
        <w:rPr>
          <w:rFonts w:cs="Times New Roman"/>
          <w:szCs w:val="24"/>
        </w:rPr>
        <w:t>training course on fair and reasonable price determination</w:t>
      </w:r>
      <w:r w:rsidR="0060592E">
        <w:rPr>
          <w:rFonts w:cs="Times New Roman"/>
          <w:szCs w:val="24"/>
        </w:rPr>
        <w:t xml:space="preserve">s in </w:t>
      </w:r>
      <w:hyperlink r:id="rId14" w:history="1">
        <w:r w:rsidR="007854C5" w:rsidRPr="00542FB3">
          <w:rPr>
            <w:rStyle w:val="Hyperlink"/>
            <w:rFonts w:cs="Times New Roman"/>
            <w:szCs w:val="24"/>
          </w:rPr>
          <w:t>FAITAS</w:t>
        </w:r>
      </w:hyperlink>
      <w:r w:rsidR="007854C5" w:rsidRPr="00547ABD">
        <w:rPr>
          <w:rFonts w:cs="Times New Roman"/>
          <w:szCs w:val="24"/>
        </w:rPr>
        <w:t xml:space="preserve">.  </w:t>
      </w:r>
      <w:r w:rsidR="007854C5" w:rsidRPr="003D1B60">
        <w:rPr>
          <w:rFonts w:cs="Times New Roman"/>
          <w:i/>
          <w:szCs w:val="24"/>
        </w:rPr>
        <w:t>FAC 085 – B2B: Price Reasonableness for Simplified Acq</w:t>
      </w:r>
      <w:r w:rsidR="00974BB0" w:rsidRPr="003D1B60">
        <w:rPr>
          <w:rFonts w:cs="Times New Roman"/>
          <w:i/>
          <w:szCs w:val="24"/>
        </w:rPr>
        <w:t>uisitions</w:t>
      </w:r>
      <w:r w:rsidR="007854C5" w:rsidRPr="00547ABD">
        <w:rPr>
          <w:rFonts w:cs="Times New Roman"/>
          <w:szCs w:val="24"/>
        </w:rPr>
        <w:t xml:space="preserve"> provides a general overview </w:t>
      </w:r>
      <w:r w:rsidR="0060592E">
        <w:rPr>
          <w:rFonts w:cs="Times New Roman"/>
          <w:szCs w:val="24"/>
        </w:rPr>
        <w:t xml:space="preserve">of </w:t>
      </w:r>
      <w:r w:rsidR="007854C5" w:rsidRPr="00547ABD">
        <w:rPr>
          <w:rFonts w:cs="Times New Roman"/>
          <w:szCs w:val="24"/>
        </w:rPr>
        <w:t>fair and reasonable price determination</w:t>
      </w:r>
      <w:r w:rsidR="0060592E">
        <w:rPr>
          <w:rFonts w:cs="Times New Roman"/>
          <w:szCs w:val="24"/>
        </w:rPr>
        <w:t>s</w:t>
      </w:r>
      <w:r w:rsidR="007854C5" w:rsidRPr="00547ABD">
        <w:rPr>
          <w:rFonts w:cs="Times New Roman"/>
          <w:szCs w:val="24"/>
        </w:rPr>
        <w:t xml:space="preserve"> while earning</w:t>
      </w:r>
      <w:r w:rsidR="0060592E">
        <w:rPr>
          <w:rFonts w:cs="Times New Roman"/>
          <w:szCs w:val="24"/>
        </w:rPr>
        <w:t xml:space="preserve"> the student</w:t>
      </w:r>
      <w:r>
        <w:rPr>
          <w:rFonts w:cs="Times New Roman"/>
          <w:szCs w:val="24"/>
        </w:rPr>
        <w:t xml:space="preserve"> one-half (</w:t>
      </w:r>
      <w:r w:rsidR="007854C5" w:rsidRPr="00547ABD">
        <w:rPr>
          <w:rFonts w:cs="Times New Roman"/>
          <w:szCs w:val="24"/>
        </w:rPr>
        <w:t>½</w:t>
      </w:r>
      <w:r>
        <w:rPr>
          <w:rFonts w:cs="Times New Roman"/>
          <w:szCs w:val="24"/>
        </w:rPr>
        <w:t>)</w:t>
      </w:r>
      <w:r w:rsidR="007854C5" w:rsidRPr="00547ABD">
        <w:rPr>
          <w:rFonts w:cs="Times New Roman"/>
          <w:szCs w:val="24"/>
        </w:rPr>
        <w:t xml:space="preserve"> continuous learning point (CLP). </w:t>
      </w:r>
    </w:p>
    <w:p w:rsidR="00B95576" w:rsidRDefault="00737671" w:rsidP="00327A2B">
      <w:pPr>
        <w:pStyle w:val="Heading1"/>
      </w:pPr>
      <w:bookmarkStart w:id="2" w:name="_Hlk531000643"/>
      <w:bookmarkEnd w:id="0"/>
      <w:r>
        <w:t xml:space="preserve">Project Update: NIH Property Management Portal (NPMP) in FY18 </w:t>
      </w:r>
    </w:p>
    <w:p w:rsidR="00974BB0" w:rsidRDefault="00974BB0" w:rsidP="00974BB0">
      <w:r>
        <w:t xml:space="preserve">NIH introduced the NIH Property Management Portal (NPMP) in 2018 as a key component of a Reimagine HHS, Optimize NIH: Phase III Initiative. NIH has over 261,980 assets valued at over $1.7B assigned to over 26,000 personnel. This project will streamline business processes and policy surrounding property management, resulting in innovation and improvement property management at NIH. </w:t>
      </w:r>
    </w:p>
    <w:p w:rsidR="00974BB0" w:rsidRDefault="00974BB0" w:rsidP="00974BB0">
      <w:r>
        <w:t xml:space="preserve">The NPMP is a web-based application used to improve and maintain accurate property management records by aligning assets with the appropriate accountable users. For the first time, NIH staff – including government employees, contractors, and fellows – can see all accountable property for which they are responsible. NPMP allows users to see every asset in their name within the property system of record. Many are surprised to see equipment still assigned to them from previous positions – perhaps even at another Institute or Center – as well as items that were removed from their possession for service or repair but never returned. </w:t>
      </w:r>
      <w:r>
        <w:br/>
      </w:r>
      <w:r>
        <w:br/>
        <w:t xml:space="preserve">Raising the level of user involvement in the management of accountable property at NIH is not only essential to fostering a culture of transparency, but it is also critical to meeting standards for responsible property management set forth by Health and Human Services (HHS) as well as the General Services Administration (GSA).  </w:t>
      </w:r>
    </w:p>
    <w:p w:rsidR="00974BB0" w:rsidRDefault="00974BB0" w:rsidP="00974BB0">
      <w:r>
        <w:t xml:space="preserve">NPMP facilitates open communication between IC Property Offices and their supported communities. The use of the NPMP promotes data accuracy and its maintenance. The Office of Acquisition and Logistics Management (OALM) is the project’s Business Owner, while the National Institute of Allergy and Infectious Diseases (NIAID) is the Technical Owner. </w:t>
      </w:r>
    </w:p>
    <w:p w:rsidR="00974BB0" w:rsidRDefault="00974BB0" w:rsidP="00974BB0">
      <w:r>
        <w:t>In FY2018, fourteen ICs began implementation of NPMP, and as a result, over 5,000 accountable users verified over 54,500 property items. Also, 39 classes were delivered to 244 IC staff members during this same time period.</w:t>
      </w:r>
    </w:p>
    <w:p w:rsidR="00974BB0" w:rsidRDefault="00974BB0" w:rsidP="00974BB0">
      <w:r>
        <w:t>Successful implementation of the NPMP across NIH relies on sponsorship by executive leaders at every Institute and Center (IC). Adoption of NPMP is considered a change management project related to property. ICs will be expected to establish and utilize an implementation team who is committed to the project and will devote adequate time to achieving success.</w:t>
      </w:r>
    </w:p>
    <w:p w:rsidR="00974BB0" w:rsidRDefault="00F277E7" w:rsidP="00974BB0">
      <w:hyperlink r:id="rId15" w:history="1">
        <w:r w:rsidR="00974BB0" w:rsidRPr="00542FB3">
          <w:rPr>
            <w:rStyle w:val="Hyperlink"/>
          </w:rPr>
          <w:t>A collaboration site</w:t>
        </w:r>
      </w:hyperlink>
      <w:r w:rsidR="00974BB0">
        <w:t xml:space="preserve"> to allow IC project members to access the most current resources is available</w:t>
      </w:r>
      <w:r w:rsidR="00974BB0" w:rsidRPr="00843AB5">
        <w:t xml:space="preserve"> </w:t>
      </w:r>
      <w:r w:rsidR="00974BB0">
        <w:t xml:space="preserve">to support their IC’s implementation. Additionally, IC Property Professionals must attend instructor-led </w:t>
      </w:r>
      <w:r w:rsidR="00974BB0" w:rsidRPr="00F21021">
        <w:t>training</w:t>
      </w:r>
      <w:r w:rsidR="00974BB0">
        <w:t xml:space="preserve"> and ca</w:t>
      </w:r>
      <w:r w:rsidR="00F21021">
        <w:t xml:space="preserve">n leverage a web-based tutorial by accessing </w:t>
      </w:r>
      <w:hyperlink r:id="rId16" w:history="1">
        <w:r w:rsidR="00F21021" w:rsidRPr="00F21021">
          <w:rPr>
            <w:rStyle w:val="Hyperlink"/>
          </w:rPr>
          <w:t>NIH LMS</w:t>
        </w:r>
      </w:hyperlink>
      <w:r w:rsidR="00F21021">
        <w:t xml:space="preserve"> and searching under “NPMP.”</w:t>
      </w:r>
    </w:p>
    <w:bookmarkEnd w:id="2"/>
    <w:p w:rsidR="00600D2A" w:rsidRDefault="00737671" w:rsidP="00327A2B">
      <w:pPr>
        <w:pStyle w:val="Heading1"/>
      </w:pPr>
      <w:r>
        <w:t>CIO-SP3 Unrestricted and CIO-SP3 Small Business Receive Best-in-Class Designation</w:t>
      </w:r>
    </w:p>
    <w:p w:rsidR="00737671" w:rsidRPr="00737671" w:rsidRDefault="00737671" w:rsidP="00737671">
      <w:pPr>
        <w:rPr>
          <w:rFonts w:cs="Times New Roman"/>
          <w:szCs w:val="24"/>
        </w:rPr>
      </w:pPr>
      <w:r w:rsidRPr="00737671">
        <w:rPr>
          <w:rFonts w:cs="Times New Roman"/>
          <w:szCs w:val="24"/>
        </w:rPr>
        <w:t xml:space="preserve">Two of NITAAC’s GWACs have been designated as </w:t>
      </w:r>
      <w:hyperlink r:id="rId17" w:history="1">
        <w:r w:rsidRPr="00952140">
          <w:rPr>
            <w:rStyle w:val="Hyperlink"/>
            <w:rFonts w:cs="Times New Roman"/>
            <w:szCs w:val="24"/>
          </w:rPr>
          <w:t>Best-in-Class</w:t>
        </w:r>
      </w:hyperlink>
      <w:r w:rsidRPr="00737671">
        <w:rPr>
          <w:rFonts w:cs="Times New Roman"/>
          <w:szCs w:val="24"/>
        </w:rPr>
        <w:t xml:space="preserve"> (BIC)!  BIC is a contracting and acquisition designation used to identify contracts that meet rigorous category management performance criteria as defined </w:t>
      </w:r>
      <w:r w:rsidRPr="00737671">
        <w:rPr>
          <w:rFonts w:cs="Times New Roman"/>
          <w:szCs w:val="24"/>
        </w:rPr>
        <w:lastRenderedPageBreak/>
        <w:t>by OMB. The designated contracts represent preferred government-wide solutions and provide a unique opportunity to leverage the government's buying power.</w:t>
      </w:r>
    </w:p>
    <w:p w:rsidR="00737671" w:rsidRPr="00737671" w:rsidRDefault="00737671" w:rsidP="00737671">
      <w:pPr>
        <w:rPr>
          <w:rFonts w:cs="Times New Roman"/>
          <w:szCs w:val="24"/>
        </w:rPr>
      </w:pPr>
      <w:r w:rsidRPr="00737671">
        <w:rPr>
          <w:rFonts w:cs="Times New Roman"/>
          <w:szCs w:val="24"/>
        </w:rPr>
        <w:t xml:space="preserve">The two GWACs are: </w:t>
      </w:r>
      <w:hyperlink r:id="rId18" w:history="1">
        <w:r w:rsidRPr="00737671">
          <w:rPr>
            <w:rStyle w:val="Hyperlink"/>
            <w:rFonts w:cs="Times New Roman"/>
            <w:szCs w:val="24"/>
          </w:rPr>
          <w:t>CIO-SP3 Unrestricted</w:t>
        </w:r>
      </w:hyperlink>
      <w:r w:rsidRPr="00737671">
        <w:rPr>
          <w:rFonts w:cs="Times New Roman"/>
          <w:szCs w:val="24"/>
        </w:rPr>
        <w:t xml:space="preserve"> and </w:t>
      </w:r>
      <w:hyperlink r:id="rId19" w:history="1">
        <w:r w:rsidRPr="00737671">
          <w:rPr>
            <w:rStyle w:val="Hyperlink"/>
            <w:rFonts w:cs="Times New Roman"/>
            <w:szCs w:val="24"/>
          </w:rPr>
          <w:t>CIO-SP3 Small Business</w:t>
        </w:r>
      </w:hyperlink>
      <w:r w:rsidRPr="00737671">
        <w:rPr>
          <w:rFonts w:cs="Times New Roman"/>
          <w:szCs w:val="24"/>
        </w:rPr>
        <w:t xml:space="preserve">.  Both specialize in a wide range of commercial and noncommercial IT service solutions across 10 task areas and 137 labor categories.  </w:t>
      </w:r>
    </w:p>
    <w:p w:rsidR="00952140" w:rsidRPr="00952140" w:rsidRDefault="00952140" w:rsidP="00952140">
      <w:pPr>
        <w:spacing w:after="150" w:line="240" w:lineRule="auto"/>
        <w:rPr>
          <w:rFonts w:cs="Times New Roman"/>
          <w:szCs w:val="24"/>
        </w:rPr>
      </w:pPr>
      <w:r w:rsidRPr="00952140">
        <w:rPr>
          <w:rFonts w:cs="Times New Roman"/>
          <w:szCs w:val="24"/>
        </w:rPr>
        <w:t>Best-in-Class (BIC) means that something has been designated by the Office of Management and Budget (OMB) as a preferred governmentwide solution that:</w:t>
      </w:r>
    </w:p>
    <w:p w:rsidR="00952140" w:rsidRPr="00952140" w:rsidRDefault="00952140" w:rsidP="00952140">
      <w:pPr>
        <w:numPr>
          <w:ilvl w:val="0"/>
          <w:numId w:val="7"/>
        </w:numPr>
        <w:spacing w:before="100" w:beforeAutospacing="1" w:after="100" w:afterAutospacing="1" w:line="240" w:lineRule="auto"/>
        <w:rPr>
          <w:rFonts w:cs="Times New Roman"/>
          <w:szCs w:val="24"/>
        </w:rPr>
      </w:pPr>
      <w:r w:rsidRPr="00952140">
        <w:rPr>
          <w:rFonts w:cs="Times New Roman"/>
          <w:szCs w:val="24"/>
        </w:rPr>
        <w:t>Allows acquisition experts to take advantage of pre-vetted, governmentwide contract solutions;</w:t>
      </w:r>
    </w:p>
    <w:p w:rsidR="00952140" w:rsidRPr="00952140" w:rsidRDefault="00952140" w:rsidP="00952140">
      <w:pPr>
        <w:numPr>
          <w:ilvl w:val="0"/>
          <w:numId w:val="7"/>
        </w:numPr>
        <w:spacing w:before="100" w:beforeAutospacing="1" w:after="100" w:afterAutospacing="1" w:line="240" w:lineRule="auto"/>
        <w:rPr>
          <w:rFonts w:cs="Times New Roman"/>
          <w:szCs w:val="24"/>
        </w:rPr>
      </w:pPr>
      <w:r w:rsidRPr="00952140">
        <w:rPr>
          <w:rFonts w:cs="Times New Roman"/>
          <w:szCs w:val="24"/>
        </w:rPr>
        <w:t>Supports a governmentwide migration to solutions that are mature and market-proven;</w:t>
      </w:r>
    </w:p>
    <w:p w:rsidR="00952140" w:rsidRPr="00952140" w:rsidRDefault="00952140" w:rsidP="00952140">
      <w:pPr>
        <w:numPr>
          <w:ilvl w:val="0"/>
          <w:numId w:val="7"/>
        </w:numPr>
        <w:spacing w:before="100" w:beforeAutospacing="1" w:after="100" w:afterAutospacing="1" w:line="240" w:lineRule="auto"/>
        <w:rPr>
          <w:rFonts w:cs="Times New Roman"/>
          <w:szCs w:val="24"/>
        </w:rPr>
      </w:pPr>
      <w:r w:rsidRPr="00952140">
        <w:rPr>
          <w:rFonts w:cs="Times New Roman"/>
          <w:szCs w:val="24"/>
        </w:rPr>
        <w:t>Assists in the optimization of spend, within the governmentwide category management framework; and</w:t>
      </w:r>
    </w:p>
    <w:p w:rsidR="00737671" w:rsidRPr="00952140" w:rsidRDefault="00952140" w:rsidP="00952140">
      <w:pPr>
        <w:numPr>
          <w:ilvl w:val="0"/>
          <w:numId w:val="7"/>
        </w:numPr>
        <w:spacing w:before="100" w:beforeAutospacing="1" w:after="100" w:afterAutospacing="1" w:line="240" w:lineRule="auto"/>
        <w:rPr>
          <w:rFonts w:cs="Times New Roman"/>
          <w:szCs w:val="24"/>
        </w:rPr>
      </w:pPr>
      <w:r w:rsidRPr="00952140">
        <w:rPr>
          <w:rFonts w:cs="Times New Roman"/>
          <w:szCs w:val="24"/>
        </w:rPr>
        <w:t>Increases the transactional data available for agency level and governmentwide analysis of buying behavior.</w:t>
      </w:r>
    </w:p>
    <w:p w:rsidR="00737671" w:rsidRPr="00737671" w:rsidRDefault="00737671" w:rsidP="00737671">
      <w:pPr>
        <w:autoSpaceDN w:val="0"/>
        <w:spacing w:after="0" w:line="276" w:lineRule="auto"/>
        <w:ind w:right="131"/>
        <w:contextualSpacing/>
        <w:rPr>
          <w:rFonts w:cs="Times New Roman"/>
          <w:i/>
          <w:iCs/>
          <w:szCs w:val="24"/>
        </w:rPr>
      </w:pPr>
      <w:r w:rsidRPr="00737671">
        <w:rPr>
          <w:rFonts w:cs="Times New Roman"/>
          <w:szCs w:val="24"/>
        </w:rPr>
        <w:t xml:space="preserve">For more information about NITAAC CIO-SP3 visit the website at: </w:t>
      </w:r>
      <w:hyperlink r:id="rId20" w:history="1">
        <w:r w:rsidRPr="00737671">
          <w:rPr>
            <w:rStyle w:val="Hyperlink"/>
            <w:rFonts w:cs="Times New Roman"/>
            <w:szCs w:val="24"/>
            <w:lang w:val="en"/>
          </w:rPr>
          <w:t>https://nitaac.nih.gov/services</w:t>
        </w:r>
      </w:hyperlink>
    </w:p>
    <w:p w:rsidR="009C2A77" w:rsidRDefault="009C2A77" w:rsidP="009C2A77">
      <w:pPr>
        <w:pStyle w:val="Heading1"/>
      </w:pPr>
      <w:r>
        <w:t>NITAAC Maintains Maturity Level 2 CMMI Rating</w:t>
      </w:r>
    </w:p>
    <w:p w:rsidR="009C2A77" w:rsidRDefault="009C2A77" w:rsidP="009C2A77">
      <w:r>
        <w:t>NITAAC has renewed our CMMI Maturity Level 2.  What does this mean?  The rating validates that:</w:t>
      </w:r>
    </w:p>
    <w:p w:rsidR="009C2A77" w:rsidRDefault="009C2A77" w:rsidP="009C2A77">
      <w:pPr>
        <w:pStyle w:val="ListParagraph"/>
        <w:numPr>
          <w:ilvl w:val="0"/>
          <w:numId w:val="6"/>
        </w:numPr>
      </w:pPr>
      <w:r>
        <w:t>Our work and processes have received the highest form of third-party validation.</w:t>
      </w:r>
    </w:p>
    <w:p w:rsidR="009C2A77" w:rsidRDefault="009C2A77" w:rsidP="009C2A77">
      <w:pPr>
        <w:pStyle w:val="ListParagraph"/>
        <w:numPr>
          <w:ilvl w:val="0"/>
          <w:numId w:val="6"/>
        </w:numPr>
      </w:pPr>
      <w:r>
        <w:t>We manage projects with an established set of practices.</w:t>
      </w:r>
    </w:p>
    <w:p w:rsidR="009C2A77" w:rsidRDefault="009C2A77" w:rsidP="009C2A77">
      <w:pPr>
        <w:pStyle w:val="ListParagraph"/>
        <w:numPr>
          <w:ilvl w:val="0"/>
          <w:numId w:val="6"/>
        </w:numPr>
      </w:pPr>
      <w:r>
        <w:t>We’re dedicated to continuous improvement and producing great work that makes a difference.</w:t>
      </w:r>
    </w:p>
    <w:p w:rsidR="009C2A77" w:rsidRDefault="009C2A77" w:rsidP="009C2A77">
      <w:r>
        <w:t xml:space="preserve">What is CMMI?  </w:t>
      </w:r>
      <w:r w:rsidRPr="00667F01">
        <w:t xml:space="preserve">The CMMI® (Capability Maturity Model® Integration) model </w:t>
      </w:r>
      <w:r>
        <w:t>is a</w:t>
      </w:r>
      <w:r w:rsidRPr="00667F01">
        <w:t xml:space="preserve"> collection of best practices that help organizations to improve their processes. Th</w:t>
      </w:r>
      <w:r>
        <w:t>is</w:t>
      </w:r>
      <w:r w:rsidRPr="00667F01">
        <w:t xml:space="preserve"> model </w:t>
      </w:r>
      <w:r>
        <w:t>is</w:t>
      </w:r>
      <w:r w:rsidRPr="00667F01">
        <w:t xml:space="preserve"> developed by product teams with members from industry, government, and the Software Engineering Institute (SEI).  Best practices in the CMMI model focus on activities for providing quality services to customers and end users. CMMI integrates bodies of knowledge that are essential for a service provider.</w:t>
      </w:r>
    </w:p>
    <w:p w:rsidR="00AB5BDF" w:rsidRDefault="009C2A77" w:rsidP="00952140">
      <w:r>
        <w:t>NITAAC can now proudly state that we have a Maturity Level 2 CMMI Rating for the NITAAC organization, in addition to having attained Best in Class (BIC) for all three GWAC contracts.</w:t>
      </w:r>
    </w:p>
    <w:p w:rsidR="00AB5BDF" w:rsidRDefault="00AB5BDF" w:rsidP="00AB5BDF">
      <w:r>
        <w:br w:type="page"/>
      </w:r>
    </w:p>
    <w:p w:rsidR="000555C5" w:rsidRPr="00CC0C19" w:rsidRDefault="000555C5" w:rsidP="00CC0C19">
      <w:pPr>
        <w:pStyle w:val="Heading1"/>
        <w:spacing w:before="0"/>
        <w:rPr>
          <w:rStyle w:val="Strong"/>
          <w:rFonts w:eastAsia="Arial" w:cs="Arial"/>
          <w:b/>
          <w:bCs/>
          <w:spacing w:val="-5"/>
        </w:rPr>
      </w:pPr>
      <w:r>
        <w:rPr>
          <w:rFonts w:eastAsia="Arial" w:cs="Arial"/>
          <w:spacing w:val="-5"/>
        </w:rPr>
        <w:lastRenderedPageBreak/>
        <w:t>Acquisition T</w:t>
      </w:r>
      <w:r w:rsidRPr="004C4D13">
        <w:rPr>
          <w:rFonts w:eastAsia="Arial" w:cs="Arial"/>
          <w:spacing w:val="-5"/>
        </w:rPr>
        <w:t>raining Information</w:t>
      </w:r>
    </w:p>
    <w:p w:rsidR="000555C5" w:rsidRPr="00C66CE4" w:rsidRDefault="000555C5" w:rsidP="00327A2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rsidR="000555C5" w:rsidRPr="00C0583B" w:rsidRDefault="000555C5" w:rsidP="00327A2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Cl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21" w:tooltip="Acquisition Management Training" w:history="1">
        <w:r w:rsidRPr="00A11350">
          <w:rPr>
            <w:rStyle w:val="Hyperlink"/>
            <w:rFonts w:eastAsia="Calibri" w:cs="Arial"/>
            <w:spacing w:val="-1"/>
            <w:szCs w:val="24"/>
          </w:rPr>
          <w:t>Acquisition Management Training</w:t>
        </w:r>
      </w:hyperlink>
    </w:p>
    <w:p w:rsidR="000555C5" w:rsidRPr="00C66CE4" w:rsidRDefault="000555C5" w:rsidP="00327A2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rsidR="000555C5" w:rsidRPr="00C0583B" w:rsidRDefault="000555C5" w:rsidP="00327A2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22" w:tooltip="NIH Training Center" w:history="1">
        <w:r w:rsidRPr="004467E3">
          <w:rPr>
            <w:rStyle w:val="Hyperlink"/>
            <w:rFonts w:cs="Arial"/>
            <w:szCs w:val="24"/>
          </w:rPr>
          <w:t>NIH Training Center</w:t>
        </w:r>
      </w:hyperlink>
      <w:r w:rsidRPr="004467E3">
        <w:rPr>
          <w:rFonts w:cs="Arial"/>
          <w:szCs w:val="24"/>
        </w:rPr>
        <w:t xml:space="preserve">, </w:t>
      </w:r>
      <w:hyperlink r:id="rId23"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4" w:tooltip="Defense Acquisition University" w:history="1">
        <w:r w:rsidRPr="004467E3">
          <w:rPr>
            <w:rStyle w:val="Hyperlink"/>
            <w:rFonts w:cs="Arial"/>
            <w:szCs w:val="24"/>
          </w:rPr>
          <w:t>Defense Acquisition University</w:t>
        </w:r>
      </w:hyperlink>
      <w:r w:rsidRPr="004467E3">
        <w:rPr>
          <w:rFonts w:cs="Arial"/>
          <w:szCs w:val="24"/>
        </w:rPr>
        <w:t>.</w:t>
      </w:r>
    </w:p>
    <w:p w:rsidR="000555C5" w:rsidRPr="00206095" w:rsidRDefault="000555C5" w:rsidP="00327A2B">
      <w:pPr>
        <w:spacing w:line="240" w:lineRule="auto"/>
        <w:contextualSpacing/>
        <w:rPr>
          <w:rStyle w:val="Strong"/>
          <w:rFonts w:ascii="Arial" w:hAnsi="Arial" w:cs="Arial"/>
          <w:sz w:val="28"/>
          <w:szCs w:val="28"/>
        </w:rPr>
      </w:pPr>
      <w:r w:rsidRPr="00206095">
        <w:rPr>
          <w:rStyle w:val="Strong"/>
          <w:rFonts w:ascii="Arial" w:hAnsi="Arial" w:cs="Arial"/>
          <w:sz w:val="28"/>
          <w:szCs w:val="28"/>
        </w:rPr>
        <w:t>Section 508 Accessibility Training</w:t>
      </w:r>
    </w:p>
    <w:p w:rsidR="000555C5" w:rsidRPr="004467E3" w:rsidRDefault="000555C5" w:rsidP="00327A2B">
      <w:pPr>
        <w:spacing w:after="120" w:line="240" w:lineRule="auto"/>
        <w:rPr>
          <w:rFonts w:cs="Arial"/>
          <w:szCs w:val="24"/>
        </w:rPr>
      </w:pPr>
      <w:r w:rsidRPr="004467E3">
        <w:rPr>
          <w:rFonts w:cs="Arial"/>
          <w:szCs w:val="24"/>
        </w:rPr>
        <w:t>Section 508 Accessibility Training courses can be accessed at</w:t>
      </w:r>
      <w:bookmarkStart w:id="3" w:name="_Hlk419199521"/>
      <w:r w:rsidRPr="004467E3">
        <w:rPr>
          <w:rFonts w:cs="Arial"/>
          <w:szCs w:val="24"/>
        </w:rPr>
        <w:t xml:space="preserve">: </w:t>
      </w:r>
      <w:hyperlink r:id="rId25" w:tooltip="CIT 508 Training Webpage" w:history="1">
        <w:bookmarkEnd w:id="3"/>
        <w:r>
          <w:rPr>
            <w:rStyle w:val="Hyperlink"/>
            <w:rFonts w:cs="Arial"/>
            <w:szCs w:val="24"/>
          </w:rPr>
          <w:t>CIT Section 508 Accessibility Training Website</w:t>
        </w:r>
      </w:hyperlink>
      <w:r w:rsidRPr="004467E3">
        <w:rPr>
          <w:rFonts w:cs="Arial"/>
          <w:szCs w:val="24"/>
        </w:rPr>
        <w:t>.</w:t>
      </w:r>
    </w:p>
    <w:p w:rsidR="000555C5" w:rsidRPr="00C66CE4" w:rsidRDefault="000555C5" w:rsidP="00327A2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rsidR="008F3827" w:rsidRPr="00CC0C19" w:rsidRDefault="000555C5" w:rsidP="00CC0C19">
      <w:pPr>
        <w:spacing w:after="240"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26"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r w:rsidR="00CC0C19">
        <w:rPr>
          <w:rFonts w:eastAsia="Calibri" w:cs="Arial"/>
          <w:color w:val="000000" w:themeColor="text1"/>
          <w:szCs w:val="24"/>
        </w:rPr>
        <w:br/>
      </w:r>
    </w:p>
    <w:p w:rsidR="000555C5" w:rsidRPr="008F3827" w:rsidRDefault="000555C5" w:rsidP="008F3827">
      <w:pPr>
        <w:pStyle w:val="Heading1"/>
        <w:spacing w:before="240"/>
        <w:rPr>
          <w:rFonts w:eastAsia="Arial" w:cs="Arial"/>
          <w:spacing w:val="-5"/>
        </w:rPr>
      </w:pPr>
      <w:r w:rsidRPr="008F3827">
        <w:rPr>
          <w:rFonts w:eastAsia="Arial" w:cs="Arial"/>
          <w:spacing w:val="-5"/>
        </w:rPr>
        <w:t>NIH Blanket Purchase Agreement (BPA) Lists Available Online</w:t>
      </w:r>
    </w:p>
    <w:p w:rsidR="000555C5" w:rsidRPr="004467E3" w:rsidRDefault="000555C5" w:rsidP="00327A2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27"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rsidR="000555C5" w:rsidRPr="004467E3" w:rsidRDefault="000555C5" w:rsidP="00327A2B">
      <w:pPr>
        <w:spacing w:after="120" w:line="240" w:lineRule="auto"/>
        <w:rPr>
          <w:rFonts w:eastAsia="Calibri" w:cs="Arial"/>
          <w:szCs w:val="24"/>
        </w:rPr>
      </w:pPr>
      <w:r w:rsidRPr="004467E3">
        <w:rPr>
          <w:rFonts w:eastAsia="Calibri" w:cs="Arial"/>
          <w:szCs w:val="24"/>
        </w:rPr>
        <w:t>This location contains Two BPA Lists:</w:t>
      </w:r>
    </w:p>
    <w:p w:rsidR="000555C5" w:rsidRPr="004467E3" w:rsidRDefault="000555C5" w:rsidP="00327A2B">
      <w:pPr>
        <w:spacing w:line="240" w:lineRule="auto"/>
        <w:ind w:left="450"/>
        <w:rPr>
          <w:rFonts w:eastAsia="Calibri" w:cs="Arial"/>
          <w:szCs w:val="24"/>
        </w:rPr>
      </w:pPr>
      <w:r w:rsidRPr="004467E3">
        <w:rPr>
          <w:rFonts w:eastAsia="Calibri" w:cs="Arial"/>
          <w:szCs w:val="24"/>
        </w:rPr>
        <w:t>1.  Complete vendor alphabetical list;</w:t>
      </w:r>
    </w:p>
    <w:p w:rsidR="000555C5" w:rsidRDefault="000555C5" w:rsidP="00327A2B">
      <w:pPr>
        <w:spacing w:after="120" w:line="240" w:lineRule="auto"/>
        <w:ind w:left="446"/>
        <w:rPr>
          <w:rFonts w:eastAsia="Calibri" w:cs="Arial"/>
          <w:szCs w:val="24"/>
        </w:rPr>
      </w:pPr>
      <w:r w:rsidRPr="004467E3">
        <w:rPr>
          <w:rFonts w:eastAsia="Calibri" w:cs="Arial"/>
          <w:szCs w:val="24"/>
        </w:rPr>
        <w:t>2.  Vendor list sorted by commodity; and</w:t>
      </w:r>
    </w:p>
    <w:p w:rsidR="000555C5" w:rsidRDefault="000555C5" w:rsidP="00327A2B">
      <w:pPr>
        <w:spacing w:line="240" w:lineRule="auto"/>
        <w:rPr>
          <w:rFonts w:eastAsia="Calibri" w:cs="Arial"/>
          <w:szCs w:val="24"/>
        </w:rPr>
      </w:pPr>
      <w:r w:rsidRPr="004467E3">
        <w:rPr>
          <w:rFonts w:eastAsia="Calibri" w:cs="Arial"/>
          <w:szCs w:val="24"/>
        </w:rPr>
        <w:t xml:space="preserve">If you have any questions or need further clarification, please contact the BPA helpline at 301-496-5212 or </w:t>
      </w:r>
      <w:hyperlink r:id="rId28"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p>
    <w:p w:rsidR="000555C5" w:rsidRPr="00A5768F" w:rsidRDefault="000555C5" w:rsidP="008F3827">
      <w:pPr>
        <w:pStyle w:val="Heading1"/>
        <w:jc w:val="center"/>
      </w:pPr>
      <w:r w:rsidRPr="00A5768F">
        <w:t>THANKS!</w:t>
      </w:r>
    </w:p>
    <w:p w:rsidR="000555C5" w:rsidRPr="00C0583B" w:rsidRDefault="000555C5" w:rsidP="00327A2B">
      <w:pPr>
        <w:spacing w:after="120" w:line="240" w:lineRule="auto"/>
        <w:rPr>
          <w:rFonts w:cs="Arial"/>
          <w:bCs/>
          <w:szCs w:val="24"/>
        </w:rPr>
      </w:pPr>
      <w:r w:rsidRPr="00C801C6">
        <w:rPr>
          <w:rStyle w:val="Strong"/>
          <w:rFonts w:cs="Arial"/>
          <w:szCs w:val="24"/>
        </w:rPr>
        <w:t xml:space="preserve">We </w:t>
      </w:r>
      <w:r>
        <w:rPr>
          <w:rStyle w:val="Strong"/>
          <w:rFonts w:cs="Arial"/>
          <w:szCs w:val="24"/>
        </w:rPr>
        <w:t>w</w:t>
      </w:r>
      <w:r w:rsidRPr="00C801C6">
        <w:rPr>
          <w:rStyle w:val="Strong"/>
          <w:rFonts w:cs="Arial"/>
          <w:szCs w:val="24"/>
        </w:rPr>
        <w:t>ould like to thank all those who contributed to this and future editions of the OALM Newsletter.</w:t>
      </w:r>
    </w:p>
    <w:p w:rsidR="000555C5" w:rsidRPr="004467E3" w:rsidRDefault="000555C5" w:rsidP="00327A2B">
      <w:pPr>
        <w:spacing w:after="120" w:line="240" w:lineRule="auto"/>
        <w:rPr>
          <w:rFonts w:eastAsia="Calibri" w:cs="Arial"/>
          <w:szCs w:val="24"/>
        </w:rPr>
      </w:pPr>
      <w:r w:rsidRPr="004467E3">
        <w:rPr>
          <w:rFonts w:eastAsia="Calibri" w:cs="Arial"/>
          <w:szCs w:val="24"/>
        </w:rPr>
        <w:t>We will do our best to include such articles in future editions of the OALM Newsletter.</w:t>
      </w:r>
    </w:p>
    <w:p w:rsidR="000555C5" w:rsidRPr="00C0583B" w:rsidRDefault="000555C5" w:rsidP="00327A2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29"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hyperlink>
        <w:r w:rsidRPr="004467E3">
          <w:rPr>
            <w:rFonts w:eastAsia="Calibri" w:cs="Arial"/>
            <w:color w:val="000000"/>
            <w:szCs w:val="24"/>
          </w:rPr>
          <w:t xml:space="preserve">, </w:t>
        </w:r>
        <w:r w:rsidRPr="004467E3">
          <w:rPr>
            <w:rFonts w:eastAsia="Calibri" w:cs="Arial"/>
            <w:color w:val="000000"/>
            <w:spacing w:val="-1"/>
            <w:szCs w:val="24"/>
          </w:rPr>
          <w:t>Mi</w:t>
        </w:r>
        <w:r w:rsidRPr="004467E3">
          <w:rPr>
            <w:rFonts w:eastAsia="Calibri" w:cs="Arial"/>
            <w:color w:val="000000"/>
            <w:szCs w:val="24"/>
          </w:rPr>
          <w:t>che</w:t>
        </w:r>
        <w:r w:rsidRPr="004467E3">
          <w:rPr>
            <w:rFonts w:eastAsia="Calibri" w:cs="Arial"/>
            <w:color w:val="000000"/>
            <w:spacing w:val="-1"/>
            <w:szCs w:val="24"/>
          </w:rPr>
          <w:t>l</w:t>
        </w:r>
        <w:r w:rsidRPr="004467E3">
          <w:rPr>
            <w:rFonts w:eastAsia="Calibri" w:cs="Arial"/>
            <w:color w:val="000000"/>
            <w:szCs w:val="24"/>
          </w:rPr>
          <w:t>e</w:t>
        </w:r>
      </w:hyperlink>
      <w:r w:rsidRPr="004467E3">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30"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Pr="007B777C">
        <w:rPr>
          <w:rFonts w:eastAsia="Calibri" w:cs="Arial"/>
          <w:szCs w:val="24"/>
        </w:rPr>
        <w:t>, Jesse</w:t>
      </w:r>
      <w:r w:rsidRPr="007B777C">
        <w:rPr>
          <w:rFonts w:eastAsia="Calibri" w:cs="Arial"/>
          <w:spacing w:val="-1"/>
          <w:szCs w:val="24"/>
        </w:rPr>
        <w:t xml:space="preserve"> </w:t>
      </w:r>
      <w:r w:rsidRPr="007B777C">
        <w:rPr>
          <w:rFonts w:eastAsia="Calibri" w:cs="Arial"/>
          <w:szCs w:val="24"/>
        </w:rPr>
        <w:t>Lee</w:t>
      </w:r>
      <w:r w:rsidRPr="007B777C">
        <w:rPr>
          <w:rFonts w:eastAsia="Calibri" w:cs="Arial"/>
          <w:spacing w:val="-1"/>
          <w:szCs w:val="24"/>
        </w:rPr>
        <w:t>,</w:t>
      </w:r>
      <w:r w:rsidRPr="007B777C">
        <w:rPr>
          <w:rFonts w:eastAsia="Calibri" w:cs="Arial"/>
          <w:szCs w:val="24"/>
        </w:rPr>
        <w:t xml:space="preserve"> </w:t>
      </w:r>
      <w:r w:rsidR="00206095" w:rsidRPr="00206095">
        <w:rPr>
          <w:rStyle w:val="Hyperlink"/>
          <w:rFonts w:eastAsia="Calibri" w:cs="Arial"/>
          <w:szCs w:val="24"/>
        </w:rPr>
        <w:t>Jesse</w:t>
      </w:r>
      <w:r w:rsidR="00206095" w:rsidRPr="00206095">
        <w:rPr>
          <w:rStyle w:val="Hyperlink"/>
          <w:rFonts w:eastAsia="Calibri" w:cs="Arial"/>
          <w:spacing w:val="-2"/>
          <w:szCs w:val="24"/>
        </w:rPr>
        <w:t>.</w:t>
      </w:r>
      <w:r w:rsidR="00206095" w:rsidRPr="00206095">
        <w:rPr>
          <w:rStyle w:val="Hyperlink"/>
          <w:rFonts w:eastAsia="Calibri" w:cs="Arial"/>
          <w:szCs w:val="24"/>
        </w:rPr>
        <w:t>Le</w:t>
      </w:r>
      <w:r w:rsidR="00206095" w:rsidRPr="00206095">
        <w:rPr>
          <w:rStyle w:val="Hyperlink"/>
          <w:rFonts w:eastAsia="Calibri" w:cs="Arial"/>
          <w:spacing w:val="-2"/>
          <w:szCs w:val="24"/>
        </w:rPr>
        <w:t>e</w:t>
      </w:r>
      <w:r w:rsidR="00206095" w:rsidRPr="00206095">
        <w:rPr>
          <w:rStyle w:val="Hyperlink"/>
          <w:rFonts w:eastAsia="Calibri" w:cs="Arial"/>
          <w:szCs w:val="24"/>
        </w:rPr>
        <w:t>2</w:t>
      </w:r>
      <w:r w:rsidR="00206095" w:rsidRPr="00206095">
        <w:rPr>
          <w:rStyle w:val="Hyperlink"/>
          <w:rFonts w:eastAsia="Calibri" w:cs="Arial"/>
          <w:spacing w:val="-1"/>
          <w:szCs w:val="24"/>
        </w:rPr>
        <w:t>@ni</w:t>
      </w:r>
      <w:r w:rsidR="00206095" w:rsidRPr="00206095">
        <w:rPr>
          <w:rStyle w:val="Hyperlink"/>
          <w:rFonts w:eastAsia="Calibri" w:cs="Arial"/>
          <w:szCs w:val="24"/>
        </w:rPr>
        <w:t>h.</w:t>
      </w:r>
      <w:r w:rsidR="00206095" w:rsidRPr="00206095">
        <w:rPr>
          <w:rStyle w:val="Hyperlink"/>
          <w:rFonts w:eastAsia="Calibri" w:cs="Arial"/>
          <w:spacing w:val="-1"/>
          <w:szCs w:val="24"/>
        </w:rPr>
        <w:t>g</w:t>
      </w:r>
      <w:r w:rsidR="00206095" w:rsidRPr="00206095">
        <w:rPr>
          <w:rStyle w:val="Hyperlink"/>
          <w:rFonts w:eastAsia="Calibri" w:cs="Arial"/>
          <w:szCs w:val="24"/>
        </w:rPr>
        <w:t>o</w:t>
      </w:r>
      <w:r w:rsidR="00206095" w:rsidRPr="00206095">
        <w:rPr>
          <w:rStyle w:val="Hyperlink"/>
          <w:rFonts w:eastAsia="Calibri" w:cs="Arial"/>
          <w:spacing w:val="-2"/>
          <w:szCs w:val="24"/>
        </w:rPr>
        <w:t>v</w:t>
      </w:r>
      <w:r w:rsidR="00206095">
        <w:rPr>
          <w:rFonts w:eastAsia="Calibri" w:cs="Arial"/>
          <w:position w:val="-1"/>
          <w:szCs w:val="24"/>
        </w:rPr>
        <w:t>, Barry S</w:t>
      </w:r>
      <w:r w:rsidRPr="004467E3">
        <w:rPr>
          <w:rFonts w:eastAsia="Calibri" w:cs="Arial"/>
          <w:position w:val="-1"/>
          <w:szCs w:val="24"/>
        </w:rPr>
        <w:t>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Pr>
          <w:rFonts w:eastAsia="Calibri" w:cs="Arial"/>
          <w:position w:val="-1"/>
          <w:szCs w:val="24"/>
        </w:rPr>
        <w:t xml:space="preserve">, </w:t>
      </w:r>
      <w:hyperlink r:id="rId31" w:tooltip="SolomonBJ@od.nih.gov" w:history="1">
        <w:r w:rsidRPr="009537CC">
          <w:rPr>
            <w:rStyle w:val="Hyperlink"/>
          </w:rPr>
          <w:t>SolomonBJ@od.nih.gov</w:t>
        </w:r>
      </w:hyperlink>
      <w:r w:rsidRPr="00943AFF">
        <w:rPr>
          <w:rFonts w:eastAsia="Calibri" w:cs="Arial"/>
          <w:color w:val="0000FF"/>
          <w:position w:val="-1"/>
          <w:szCs w:val="24"/>
        </w:rPr>
        <w:t>.</w:t>
      </w:r>
    </w:p>
    <w:p w:rsidR="00B95576" w:rsidRPr="00B95576" w:rsidRDefault="000555C5" w:rsidP="00327A2B">
      <w:pPr>
        <w:spacing w:line="240" w:lineRule="auto"/>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sidR="00974BB0">
        <w:rPr>
          <w:rFonts w:cs="Arial"/>
          <w:szCs w:val="24"/>
        </w:rPr>
        <w:t>Jesse Lee</w:t>
      </w:r>
      <w:r>
        <w:rPr>
          <w:rFonts w:cs="Arial"/>
          <w:szCs w:val="24"/>
        </w:rPr>
        <w:t xml:space="preserve">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32" w:tooltip="OALMnewsletter@mail.nih.gov" w:history="1">
        <w:r>
          <w:rPr>
            <w:rStyle w:val="Hyperlink"/>
            <w:rFonts w:cs="Arial"/>
            <w:szCs w:val="24"/>
          </w:rPr>
          <w:t>OALMnewsletter@mail.nih.gov</w:t>
        </w:r>
      </w:hyperlink>
      <w:hyperlink>
        <w:r>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p>
    <w:sectPr w:rsidR="00B95576" w:rsidRPr="00B95576" w:rsidSect="009D4F9E">
      <w:head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22" w:rsidRDefault="00892622" w:rsidP="00637C61">
      <w:pPr>
        <w:spacing w:after="0" w:line="240" w:lineRule="auto"/>
      </w:pPr>
      <w:r>
        <w:separator/>
      </w:r>
    </w:p>
  </w:endnote>
  <w:endnote w:type="continuationSeparator" w:id="0">
    <w:p w:rsidR="00892622" w:rsidRDefault="00892622" w:rsidP="0063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22" w:rsidRDefault="00892622" w:rsidP="00637C61">
      <w:pPr>
        <w:spacing w:after="0" w:line="240" w:lineRule="auto"/>
      </w:pPr>
      <w:r>
        <w:separator/>
      </w:r>
    </w:p>
  </w:footnote>
  <w:footnote w:type="continuationSeparator" w:id="0">
    <w:p w:rsidR="00892622" w:rsidRDefault="00892622" w:rsidP="0063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F9E" w:rsidRDefault="009D4F9E">
    <w:pPr>
      <w:pStyle w:val="Header"/>
    </w:pPr>
  </w:p>
  <w:p w:rsidR="00637C61" w:rsidRDefault="00637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57D8B"/>
    <w:multiLevelType w:val="hybridMultilevel"/>
    <w:tmpl w:val="01D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7666C"/>
    <w:multiLevelType w:val="hybridMultilevel"/>
    <w:tmpl w:val="B61C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B470A"/>
    <w:multiLevelType w:val="multilevel"/>
    <w:tmpl w:val="3EA6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65B1B"/>
    <w:multiLevelType w:val="hybridMultilevel"/>
    <w:tmpl w:val="E084D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A6A26BC"/>
    <w:multiLevelType w:val="hybridMultilevel"/>
    <w:tmpl w:val="26AE36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E63E60"/>
    <w:multiLevelType w:val="hybridMultilevel"/>
    <w:tmpl w:val="643609AE"/>
    <w:lvl w:ilvl="0" w:tplc="04090005">
      <w:start w:val="1"/>
      <w:numFmt w:val="bullet"/>
      <w:lvlText w:val=""/>
      <w:lvlJc w:val="left"/>
      <w:pPr>
        <w:ind w:left="940" w:hanging="360"/>
      </w:pPr>
      <w:rPr>
        <w:rFonts w:ascii="Wingdings" w:hAnsi="Wingdings" w:hint="default"/>
      </w:rPr>
    </w:lvl>
    <w:lvl w:ilvl="1" w:tplc="04090003">
      <w:start w:val="1"/>
      <w:numFmt w:val="bullet"/>
      <w:lvlText w:val="o"/>
      <w:lvlJc w:val="left"/>
      <w:pPr>
        <w:ind w:left="1660" w:hanging="360"/>
      </w:pPr>
      <w:rPr>
        <w:rFonts w:ascii="Courier New" w:hAnsi="Courier New" w:cs="Courier New" w:hint="default"/>
      </w:rPr>
    </w:lvl>
    <w:lvl w:ilvl="2" w:tplc="04090005">
      <w:start w:val="1"/>
      <w:numFmt w:val="bullet"/>
      <w:lvlText w:val=""/>
      <w:lvlJc w:val="left"/>
      <w:pPr>
        <w:ind w:left="2380" w:hanging="360"/>
      </w:pPr>
      <w:rPr>
        <w:rFonts w:ascii="Wingdings" w:hAnsi="Wingdings" w:hint="default"/>
      </w:rPr>
    </w:lvl>
    <w:lvl w:ilvl="3" w:tplc="04090001">
      <w:start w:val="1"/>
      <w:numFmt w:val="bullet"/>
      <w:lvlText w:val=""/>
      <w:lvlJc w:val="left"/>
      <w:pPr>
        <w:ind w:left="3100" w:hanging="360"/>
      </w:pPr>
      <w:rPr>
        <w:rFonts w:ascii="Symbol" w:hAnsi="Symbol" w:hint="default"/>
      </w:rPr>
    </w:lvl>
    <w:lvl w:ilvl="4" w:tplc="04090003">
      <w:start w:val="1"/>
      <w:numFmt w:val="bullet"/>
      <w:lvlText w:val="o"/>
      <w:lvlJc w:val="left"/>
      <w:pPr>
        <w:ind w:left="3820" w:hanging="360"/>
      </w:pPr>
      <w:rPr>
        <w:rFonts w:ascii="Courier New" w:hAnsi="Courier New" w:cs="Courier New" w:hint="default"/>
      </w:rPr>
    </w:lvl>
    <w:lvl w:ilvl="5" w:tplc="04090005">
      <w:start w:val="1"/>
      <w:numFmt w:val="bullet"/>
      <w:lvlText w:val=""/>
      <w:lvlJc w:val="left"/>
      <w:pPr>
        <w:ind w:left="4540" w:hanging="360"/>
      </w:pPr>
      <w:rPr>
        <w:rFonts w:ascii="Wingdings" w:hAnsi="Wingdings" w:hint="default"/>
      </w:rPr>
    </w:lvl>
    <w:lvl w:ilvl="6" w:tplc="04090001">
      <w:start w:val="1"/>
      <w:numFmt w:val="bullet"/>
      <w:lvlText w:val=""/>
      <w:lvlJc w:val="left"/>
      <w:pPr>
        <w:ind w:left="5260" w:hanging="360"/>
      </w:pPr>
      <w:rPr>
        <w:rFonts w:ascii="Symbol" w:hAnsi="Symbol" w:hint="default"/>
      </w:rPr>
    </w:lvl>
    <w:lvl w:ilvl="7" w:tplc="04090003">
      <w:start w:val="1"/>
      <w:numFmt w:val="bullet"/>
      <w:lvlText w:val="o"/>
      <w:lvlJc w:val="left"/>
      <w:pPr>
        <w:ind w:left="5980" w:hanging="360"/>
      </w:pPr>
      <w:rPr>
        <w:rFonts w:ascii="Courier New" w:hAnsi="Courier New" w:cs="Courier New" w:hint="default"/>
      </w:rPr>
    </w:lvl>
    <w:lvl w:ilvl="8" w:tplc="04090005">
      <w:start w:val="1"/>
      <w:numFmt w:val="bullet"/>
      <w:lvlText w:val=""/>
      <w:lvlJc w:val="left"/>
      <w:pPr>
        <w:ind w:left="67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76"/>
    <w:rsid w:val="00001177"/>
    <w:rsid w:val="000555C5"/>
    <w:rsid w:val="00061338"/>
    <w:rsid w:val="00062748"/>
    <w:rsid w:val="00070DB1"/>
    <w:rsid w:val="000D5D39"/>
    <w:rsid w:val="001310C7"/>
    <w:rsid w:val="00162A9B"/>
    <w:rsid w:val="00181088"/>
    <w:rsid w:val="001C2DCF"/>
    <w:rsid w:val="001D0F40"/>
    <w:rsid w:val="001F55A2"/>
    <w:rsid w:val="0020171C"/>
    <w:rsid w:val="00202860"/>
    <w:rsid w:val="00206095"/>
    <w:rsid w:val="00233B65"/>
    <w:rsid w:val="0026352A"/>
    <w:rsid w:val="002C6422"/>
    <w:rsid w:val="002F7F2F"/>
    <w:rsid w:val="00327A2B"/>
    <w:rsid w:val="003626B1"/>
    <w:rsid w:val="003D12E9"/>
    <w:rsid w:val="003D1B60"/>
    <w:rsid w:val="004C5B96"/>
    <w:rsid w:val="004E06BE"/>
    <w:rsid w:val="00511D9A"/>
    <w:rsid w:val="00542FB3"/>
    <w:rsid w:val="00547ABD"/>
    <w:rsid w:val="005578E6"/>
    <w:rsid w:val="00600D2A"/>
    <w:rsid w:val="0060592E"/>
    <w:rsid w:val="00637C61"/>
    <w:rsid w:val="006563E2"/>
    <w:rsid w:val="00670D93"/>
    <w:rsid w:val="006C70FE"/>
    <w:rsid w:val="00737671"/>
    <w:rsid w:val="007854C5"/>
    <w:rsid w:val="00792FAA"/>
    <w:rsid w:val="0085183D"/>
    <w:rsid w:val="00892622"/>
    <w:rsid w:val="008F1C14"/>
    <w:rsid w:val="008F3827"/>
    <w:rsid w:val="008F4CB2"/>
    <w:rsid w:val="00917FB3"/>
    <w:rsid w:val="009320E3"/>
    <w:rsid w:val="00952140"/>
    <w:rsid w:val="00963ED8"/>
    <w:rsid w:val="00974BB0"/>
    <w:rsid w:val="00980755"/>
    <w:rsid w:val="009B4B35"/>
    <w:rsid w:val="009B56AF"/>
    <w:rsid w:val="009C2A77"/>
    <w:rsid w:val="009D4F9E"/>
    <w:rsid w:val="009D6D1E"/>
    <w:rsid w:val="009F28CD"/>
    <w:rsid w:val="00A54265"/>
    <w:rsid w:val="00A77C7B"/>
    <w:rsid w:val="00AA0828"/>
    <w:rsid w:val="00AB5BDF"/>
    <w:rsid w:val="00AD2F0A"/>
    <w:rsid w:val="00AE34A0"/>
    <w:rsid w:val="00B51A27"/>
    <w:rsid w:val="00B52E8E"/>
    <w:rsid w:val="00B6323C"/>
    <w:rsid w:val="00B67701"/>
    <w:rsid w:val="00B95576"/>
    <w:rsid w:val="00BA131E"/>
    <w:rsid w:val="00CA4A0B"/>
    <w:rsid w:val="00CB2A15"/>
    <w:rsid w:val="00CC0C19"/>
    <w:rsid w:val="00D3597F"/>
    <w:rsid w:val="00D40C64"/>
    <w:rsid w:val="00D56082"/>
    <w:rsid w:val="00DA3520"/>
    <w:rsid w:val="00DA4093"/>
    <w:rsid w:val="00DF3572"/>
    <w:rsid w:val="00F21021"/>
    <w:rsid w:val="00F277E7"/>
    <w:rsid w:val="00F636CF"/>
    <w:rsid w:val="00F74A27"/>
    <w:rsid w:val="00F936E1"/>
    <w:rsid w:val="00FB0BDA"/>
    <w:rsid w:val="00FD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10D5E-A974-4E80-8DD9-34904A7D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A2B"/>
    <w:pPr>
      <w:spacing w:line="256" w:lineRule="auto"/>
    </w:pPr>
    <w:rPr>
      <w:rFonts w:ascii="Times New Roman" w:hAnsi="Times New Roman"/>
      <w:sz w:val="24"/>
    </w:rPr>
  </w:style>
  <w:style w:type="paragraph" w:styleId="Heading1">
    <w:name w:val="heading 1"/>
    <w:basedOn w:val="Normal"/>
    <w:next w:val="Normal"/>
    <w:link w:val="Heading1Char"/>
    <w:uiPriority w:val="9"/>
    <w:qFormat/>
    <w:rsid w:val="00327A2B"/>
    <w:pPr>
      <w:keepNext/>
      <w:keepLines/>
      <w:spacing w:before="480" w:after="240" w:line="240"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555C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76"/>
    <w:rPr>
      <w:color w:val="0563C1" w:themeColor="hyperlink"/>
      <w:u w:val="single"/>
    </w:rPr>
  </w:style>
  <w:style w:type="paragraph" w:styleId="ListParagraph">
    <w:name w:val="List Paragraph"/>
    <w:basedOn w:val="Normal"/>
    <w:uiPriority w:val="34"/>
    <w:qFormat/>
    <w:rsid w:val="00B95576"/>
    <w:pPr>
      <w:ind w:left="720"/>
      <w:contextualSpacing/>
    </w:pPr>
  </w:style>
  <w:style w:type="character" w:customStyle="1" w:styleId="Heading1Char">
    <w:name w:val="Heading 1 Char"/>
    <w:basedOn w:val="DefaultParagraphFont"/>
    <w:link w:val="Heading1"/>
    <w:uiPriority w:val="9"/>
    <w:rsid w:val="00327A2B"/>
    <w:rPr>
      <w:rFonts w:asciiTheme="majorHAnsi" w:eastAsiaTheme="majorEastAsia" w:hAnsiTheme="majorHAnsi" w:cstheme="majorBidi"/>
      <w:b/>
      <w:bCs/>
      <w:sz w:val="32"/>
      <w:szCs w:val="32"/>
    </w:rPr>
  </w:style>
  <w:style w:type="character" w:customStyle="1" w:styleId="UnresolvedMention1">
    <w:name w:val="Unresolved Mention1"/>
    <w:basedOn w:val="DefaultParagraphFont"/>
    <w:uiPriority w:val="99"/>
    <w:semiHidden/>
    <w:unhideWhenUsed/>
    <w:rsid w:val="00B95576"/>
    <w:rPr>
      <w:color w:val="605E5C"/>
      <w:shd w:val="clear" w:color="auto" w:fill="E1DFDD"/>
    </w:rPr>
  </w:style>
  <w:style w:type="paragraph" w:customStyle="1" w:styleId="Default">
    <w:name w:val="Default"/>
    <w:rsid w:val="00B9557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27A2B"/>
    <w:pPr>
      <w:spacing w:after="0" w:line="240" w:lineRule="auto"/>
    </w:pPr>
    <w:rPr>
      <w:rFonts w:ascii="Times New Roman" w:hAnsi="Times New Roman"/>
      <w:sz w:val="24"/>
    </w:rPr>
  </w:style>
  <w:style w:type="paragraph" w:styleId="NormalWeb">
    <w:name w:val="Normal (Web)"/>
    <w:basedOn w:val="Normal"/>
    <w:uiPriority w:val="99"/>
    <w:semiHidden/>
    <w:unhideWhenUsed/>
    <w:rsid w:val="00637C6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37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C61"/>
  </w:style>
  <w:style w:type="paragraph" w:styleId="Footer">
    <w:name w:val="footer"/>
    <w:basedOn w:val="Normal"/>
    <w:link w:val="FooterChar"/>
    <w:uiPriority w:val="99"/>
    <w:unhideWhenUsed/>
    <w:rsid w:val="00637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C61"/>
  </w:style>
  <w:style w:type="character" w:customStyle="1" w:styleId="Heading2Char">
    <w:name w:val="Heading 2 Char"/>
    <w:basedOn w:val="DefaultParagraphFont"/>
    <w:link w:val="Heading2"/>
    <w:uiPriority w:val="9"/>
    <w:rsid w:val="000555C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555C5"/>
    <w:rPr>
      <w:b/>
      <w:bCs/>
    </w:rPr>
  </w:style>
  <w:style w:type="paragraph" w:styleId="BalloonText">
    <w:name w:val="Balloon Text"/>
    <w:basedOn w:val="Normal"/>
    <w:link w:val="BalloonTextChar"/>
    <w:uiPriority w:val="99"/>
    <w:semiHidden/>
    <w:unhideWhenUsed/>
    <w:rsid w:val="009D4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9E"/>
    <w:rPr>
      <w:rFonts w:ascii="Segoe UI" w:hAnsi="Segoe UI" w:cs="Segoe UI"/>
      <w:sz w:val="18"/>
      <w:szCs w:val="18"/>
    </w:rPr>
  </w:style>
  <w:style w:type="character" w:styleId="FollowedHyperlink">
    <w:name w:val="FollowedHyperlink"/>
    <w:basedOn w:val="DefaultParagraphFont"/>
    <w:uiPriority w:val="99"/>
    <w:semiHidden/>
    <w:unhideWhenUsed/>
    <w:rsid w:val="009D4F9E"/>
    <w:rPr>
      <w:color w:val="954F72" w:themeColor="followedHyperlink"/>
      <w:u w:val="single"/>
    </w:rPr>
  </w:style>
  <w:style w:type="character" w:styleId="CommentReference">
    <w:name w:val="annotation reference"/>
    <w:basedOn w:val="DefaultParagraphFont"/>
    <w:uiPriority w:val="99"/>
    <w:semiHidden/>
    <w:unhideWhenUsed/>
    <w:rsid w:val="00F74A27"/>
    <w:rPr>
      <w:sz w:val="16"/>
      <w:szCs w:val="16"/>
    </w:rPr>
  </w:style>
  <w:style w:type="paragraph" w:styleId="CommentText">
    <w:name w:val="annotation text"/>
    <w:basedOn w:val="Normal"/>
    <w:link w:val="CommentTextChar"/>
    <w:uiPriority w:val="99"/>
    <w:semiHidden/>
    <w:unhideWhenUsed/>
    <w:rsid w:val="00F74A27"/>
    <w:pPr>
      <w:spacing w:line="240" w:lineRule="auto"/>
    </w:pPr>
    <w:rPr>
      <w:sz w:val="20"/>
      <w:szCs w:val="20"/>
    </w:rPr>
  </w:style>
  <w:style w:type="character" w:customStyle="1" w:styleId="CommentTextChar">
    <w:name w:val="Comment Text Char"/>
    <w:basedOn w:val="DefaultParagraphFont"/>
    <w:link w:val="CommentText"/>
    <w:uiPriority w:val="99"/>
    <w:semiHidden/>
    <w:rsid w:val="00F74A27"/>
    <w:rPr>
      <w:sz w:val="20"/>
      <w:szCs w:val="20"/>
    </w:rPr>
  </w:style>
  <w:style w:type="paragraph" w:styleId="CommentSubject">
    <w:name w:val="annotation subject"/>
    <w:basedOn w:val="CommentText"/>
    <w:next w:val="CommentText"/>
    <w:link w:val="CommentSubjectChar"/>
    <w:uiPriority w:val="99"/>
    <w:semiHidden/>
    <w:unhideWhenUsed/>
    <w:rsid w:val="00F74A27"/>
    <w:rPr>
      <w:b/>
      <w:bCs/>
    </w:rPr>
  </w:style>
  <w:style w:type="character" w:customStyle="1" w:styleId="CommentSubjectChar">
    <w:name w:val="Comment Subject Char"/>
    <w:basedOn w:val="CommentTextChar"/>
    <w:link w:val="CommentSubject"/>
    <w:uiPriority w:val="99"/>
    <w:semiHidden/>
    <w:rsid w:val="00F74A27"/>
    <w:rPr>
      <w:b/>
      <w:bCs/>
      <w:sz w:val="20"/>
      <w:szCs w:val="20"/>
    </w:rPr>
  </w:style>
  <w:style w:type="table" w:styleId="GridTable1Light">
    <w:name w:val="Grid Table 1 Light"/>
    <w:basedOn w:val="TableNormal"/>
    <w:uiPriority w:val="46"/>
    <w:rsid w:val="00DA35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327A2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327A2B"/>
    <w:rPr>
      <w:rFonts w:asciiTheme="majorHAnsi" w:eastAsiaTheme="majorEastAsia" w:hAnsiTheme="majorHAnsi" w:cstheme="majorBidi"/>
      <w:spacing w:val="-10"/>
      <w:kern w:val="28"/>
      <w:sz w:val="48"/>
      <w:szCs w:val="56"/>
    </w:rPr>
  </w:style>
  <w:style w:type="paragraph" w:styleId="Revision">
    <w:name w:val="Revision"/>
    <w:hidden/>
    <w:uiPriority w:val="99"/>
    <w:semiHidden/>
    <w:rsid w:val="00327A2B"/>
    <w:pPr>
      <w:spacing w:after="0" w:line="240" w:lineRule="auto"/>
    </w:pPr>
    <w:rPr>
      <w:rFonts w:ascii="Times New Roman" w:hAnsi="Times New Roman"/>
      <w:sz w:val="24"/>
    </w:rPr>
  </w:style>
  <w:style w:type="paragraph" w:customStyle="1" w:styleId="body">
    <w:name w:val="body"/>
    <w:basedOn w:val="Normal"/>
    <w:link w:val="bodyChar"/>
    <w:rsid w:val="00CC0C19"/>
    <w:pPr>
      <w:suppressAutoHyphens/>
      <w:spacing w:before="120" w:after="120" w:line="260" w:lineRule="exact"/>
      <w:ind w:left="2304"/>
    </w:pPr>
    <w:rPr>
      <w:rFonts w:ascii="Arial" w:eastAsia="Calibri" w:hAnsi="Arial" w:cs="Times New Roman"/>
      <w:sz w:val="21"/>
      <w:szCs w:val="20"/>
    </w:rPr>
  </w:style>
  <w:style w:type="character" w:customStyle="1" w:styleId="bodyChar">
    <w:name w:val="body Char"/>
    <w:basedOn w:val="DefaultParagraphFont"/>
    <w:link w:val="body"/>
    <w:rsid w:val="00CC0C19"/>
    <w:rPr>
      <w:rFonts w:ascii="Arial" w:eastAsia="Calibri" w:hAnsi="Arial" w:cs="Times New Roman"/>
      <w:sz w:val="21"/>
      <w:szCs w:val="20"/>
    </w:rPr>
  </w:style>
  <w:style w:type="paragraph" w:styleId="Caption">
    <w:name w:val="caption"/>
    <w:basedOn w:val="Normal"/>
    <w:next w:val="Normal"/>
    <w:uiPriority w:val="35"/>
    <w:unhideWhenUsed/>
    <w:qFormat/>
    <w:rsid w:val="003626B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16178">
      <w:bodyDiv w:val="1"/>
      <w:marLeft w:val="0"/>
      <w:marRight w:val="0"/>
      <w:marTop w:val="0"/>
      <w:marBottom w:val="0"/>
      <w:divBdr>
        <w:top w:val="none" w:sz="0" w:space="0" w:color="auto"/>
        <w:left w:val="none" w:sz="0" w:space="0" w:color="auto"/>
        <w:bottom w:val="none" w:sz="0" w:space="0" w:color="auto"/>
        <w:right w:val="none" w:sz="0" w:space="0" w:color="auto"/>
      </w:divBdr>
    </w:div>
    <w:div w:id="783571386">
      <w:bodyDiv w:val="1"/>
      <w:marLeft w:val="0"/>
      <w:marRight w:val="0"/>
      <w:marTop w:val="0"/>
      <w:marBottom w:val="0"/>
      <w:divBdr>
        <w:top w:val="none" w:sz="0" w:space="0" w:color="auto"/>
        <w:left w:val="none" w:sz="0" w:space="0" w:color="auto"/>
        <w:bottom w:val="none" w:sz="0" w:space="0" w:color="auto"/>
        <w:right w:val="none" w:sz="0" w:space="0" w:color="auto"/>
      </w:divBdr>
    </w:div>
    <w:div w:id="937912166">
      <w:bodyDiv w:val="1"/>
      <w:marLeft w:val="0"/>
      <w:marRight w:val="0"/>
      <w:marTop w:val="0"/>
      <w:marBottom w:val="0"/>
      <w:divBdr>
        <w:top w:val="none" w:sz="0" w:space="0" w:color="auto"/>
        <w:left w:val="none" w:sz="0" w:space="0" w:color="auto"/>
        <w:bottom w:val="none" w:sz="0" w:space="0" w:color="auto"/>
        <w:right w:val="none" w:sz="0" w:space="0" w:color="auto"/>
      </w:divBdr>
    </w:div>
    <w:div w:id="15734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forcetimes.com/news/your-air-force/2018/07/09/dont-drop-that-mug-of-joe-its-worth-its-weight-in-gold/" TargetMode="External"/><Relationship Id="rId13" Type="http://schemas.openxmlformats.org/officeDocument/2006/relationships/hyperlink" Target="https://www.acquisition.gov/sites/default/files/current/far/html/Subpart%2013_1.html" TargetMode="External"/><Relationship Id="rId18" Type="http://schemas.openxmlformats.org/officeDocument/2006/relationships/hyperlink" Target="https://nitaac.nih.gov/services/cio-sp3" TargetMode="External"/><Relationship Id="rId26" Type="http://schemas.openxmlformats.org/officeDocument/2006/relationships/hyperlink" Target="http://oalm.od.nih.gov/GreenPurchasingForWebsite" TargetMode="External"/><Relationship Id="rId3" Type="http://schemas.openxmlformats.org/officeDocument/2006/relationships/styles" Target="styles.xml"/><Relationship Id="rId21" Type="http://schemas.openxmlformats.org/officeDocument/2006/relationships/hyperlink" Target="https://hr.nih.gov/training-center/resources/amtrac/nih-acquisition-management-training-resource-center-amtra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quisition.gov/sites/default/files/current/far/html/Subpart%2012_2.html" TargetMode="External"/><Relationship Id="rId17" Type="http://schemas.openxmlformats.org/officeDocument/2006/relationships/hyperlink" Target="https://www.gsa.gov/buying-selling/category-management/bestinclass" TargetMode="External"/><Relationship Id="rId25" Type="http://schemas.openxmlformats.org/officeDocument/2006/relationships/hyperlink" Target="http://training.cit.nih.gov/list.aspx?catId=14"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ms.learning.hhs.gov/" TargetMode="External"/><Relationship Id="rId20" Type="http://schemas.openxmlformats.org/officeDocument/2006/relationships/hyperlink" Target="https://nitaac.nih.gov/services" TargetMode="External"/><Relationship Id="rId29" Type="http://schemas.openxmlformats.org/officeDocument/2006/relationships/hyperlink" Target="mailto:NicholaM@od.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sites/default/files/current/far/html/Subpart%208_4.html" TargetMode="External"/><Relationship Id="rId24" Type="http://schemas.openxmlformats.org/officeDocument/2006/relationships/hyperlink" Target="https://learn.dau.mil/Atlas2/faces/page/atlasSE/login/Login.seam" TargetMode="External"/><Relationship Id="rId32" Type="http://schemas.openxmlformats.org/officeDocument/2006/relationships/hyperlink" Target="mailto:OALMnewsletter@mail.nih.gov" TargetMode="External"/><Relationship Id="rId5" Type="http://schemas.openxmlformats.org/officeDocument/2006/relationships/webSettings" Target="webSettings.xml"/><Relationship Id="rId15" Type="http://schemas.openxmlformats.org/officeDocument/2006/relationships/hyperlink" Target="file:///C:\Users\dascolin\AppData\Local\Microsoft\Windows\INetCache\Content.Outlook\19G2CMY9\NPMPresources.nih.gov" TargetMode="External"/><Relationship Id="rId23" Type="http://schemas.openxmlformats.org/officeDocument/2006/relationships/hyperlink" Target="http://www.fai.gov/" TargetMode="External"/><Relationship Id="rId28" Type="http://schemas.openxmlformats.org/officeDocument/2006/relationships/hyperlink" Target="mailto:BPAProgramBranch@od.nih.gov" TargetMode="External"/><Relationship Id="rId10" Type="http://schemas.openxmlformats.org/officeDocument/2006/relationships/image" Target="media/image1.jpeg"/><Relationship Id="rId19" Type="http://schemas.openxmlformats.org/officeDocument/2006/relationships/hyperlink" Target="https://nitaac.nih.gov/services/cio-sp3-small-business" TargetMode="External"/><Relationship Id="rId31" Type="http://schemas.openxmlformats.org/officeDocument/2006/relationships/hyperlink" Target="mailto:SolomonBJ@od.nih.gov" TargetMode="External"/><Relationship Id="rId4" Type="http://schemas.openxmlformats.org/officeDocument/2006/relationships/settings" Target="settings.xml"/><Relationship Id="rId9" Type="http://schemas.openxmlformats.org/officeDocument/2006/relationships/hyperlink" Target="https://www.airforcetimes.com/news/your-air-force/2018/10/22/battle-over-air-forces-1300-coffee-cups-heats-up/" TargetMode="External"/><Relationship Id="rId14" Type="http://schemas.openxmlformats.org/officeDocument/2006/relationships/hyperlink" Target="https://faitas.army.mil/" TargetMode="External"/><Relationship Id="rId22" Type="http://schemas.openxmlformats.org/officeDocument/2006/relationships/hyperlink" Target="https://hr.nih.gov/training-center" TargetMode="External"/><Relationship Id="rId27" Type="http://schemas.openxmlformats.org/officeDocument/2006/relationships/hyperlink" Target="http://oamp.od.nih.gov/dsaps/bpa-program" TargetMode="External"/><Relationship Id="rId30" Type="http://schemas.openxmlformats.org/officeDocument/2006/relationships/hyperlink" Target="mailto:McDermottMl@od.nih.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7874-ECD6-4C5C-958C-1FF2FFAA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Barry (NIH/OD) [E]</dc:creator>
  <cp:keywords/>
  <dc:description/>
  <cp:lastModifiedBy>Lee, Jesse (NIH/OD) [E]</cp:lastModifiedBy>
  <cp:revision>5</cp:revision>
  <cp:lastPrinted>2018-11-29T16:22:00Z</cp:lastPrinted>
  <dcterms:created xsi:type="dcterms:W3CDTF">2018-12-03T19:04:00Z</dcterms:created>
  <dcterms:modified xsi:type="dcterms:W3CDTF">2018-12-06T15:36:00Z</dcterms:modified>
</cp:coreProperties>
</file>