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D79" w:rsidRDefault="00964D79" w:rsidP="00C0583B">
      <w:pPr>
        <w:pStyle w:val="Heading1"/>
        <w:spacing w:before="0" w:line="240" w:lineRule="auto"/>
      </w:pPr>
    </w:p>
    <w:p w:rsidR="00FA5C92" w:rsidRDefault="00FA5C92" w:rsidP="00C0583B">
      <w:pPr>
        <w:pStyle w:val="Heading1"/>
        <w:spacing w:before="0" w:after="120" w:line="240" w:lineRule="auto"/>
        <w:rPr>
          <w:rFonts w:eastAsia="Times New Roman" w:cs="Arial"/>
          <w:color w:val="000000"/>
          <w:spacing w:val="4"/>
          <w:szCs w:val="24"/>
          <w:lang w:val="en"/>
        </w:rPr>
      </w:pPr>
      <w:r>
        <w:rPr>
          <w:rFonts w:eastAsia="Times New Roman"/>
          <w:lang w:val="en"/>
        </w:rPr>
        <w:t>2018</w:t>
      </w:r>
      <w:r w:rsidRPr="00102155">
        <w:rPr>
          <w:rFonts w:eastAsia="Times New Roman"/>
          <w:lang w:val="en"/>
        </w:rPr>
        <w:t xml:space="preserve"> </w:t>
      </w:r>
      <w:r>
        <w:rPr>
          <w:rFonts w:eastAsia="Times New Roman"/>
          <w:lang w:val="en"/>
        </w:rPr>
        <w:t>Acquisition Management Forum</w:t>
      </w:r>
    </w:p>
    <w:p w:rsidR="00FA5C92" w:rsidRPr="00103C13" w:rsidRDefault="00FA5C92" w:rsidP="00C0583B">
      <w:pPr>
        <w:shd w:val="clear" w:color="auto" w:fill="FFFFFF"/>
        <w:spacing w:after="120" w:line="240" w:lineRule="auto"/>
        <w:rPr>
          <w:rFonts w:eastAsia="Times New Roman" w:cs="Arial"/>
          <w:color w:val="000000"/>
          <w:spacing w:val="4"/>
          <w:szCs w:val="24"/>
          <w:lang w:val="en"/>
        </w:rPr>
      </w:pPr>
      <w:r>
        <w:rPr>
          <w:rFonts w:eastAsia="Times New Roman" w:cs="Arial"/>
          <w:color w:val="000000"/>
          <w:spacing w:val="4"/>
          <w:szCs w:val="24"/>
          <w:lang w:val="en"/>
        </w:rPr>
        <w:t>HHS Office of Grants and Acquisition Policy and Accountability (OGAPA) held an Acquisition Management Forum (AMF) at the Natcher Conference Center on Thursday, March 15, 2018.</w:t>
      </w:r>
    </w:p>
    <w:p w:rsidR="00FA5C92" w:rsidRDefault="00FA5C92" w:rsidP="00C0583B">
      <w:pPr>
        <w:spacing w:after="120" w:line="240" w:lineRule="auto"/>
        <w:rPr>
          <w:rFonts w:eastAsia="Times New Roman" w:cs="Arial"/>
          <w:color w:val="000000"/>
          <w:spacing w:val="4"/>
          <w:szCs w:val="24"/>
          <w:lang w:val="en"/>
        </w:rPr>
      </w:pPr>
      <w:r>
        <w:rPr>
          <w:rFonts w:eastAsia="Times New Roman" w:cs="Arial"/>
          <w:color w:val="000000"/>
          <w:spacing w:val="4"/>
          <w:szCs w:val="24"/>
          <w:lang w:val="en"/>
        </w:rPr>
        <w:t>The March 15</w:t>
      </w:r>
      <w:r w:rsidRPr="00103C13">
        <w:rPr>
          <w:rFonts w:eastAsia="Times New Roman" w:cs="Arial"/>
          <w:color w:val="000000"/>
          <w:spacing w:val="4"/>
          <w:szCs w:val="24"/>
          <w:lang w:val="en"/>
        </w:rPr>
        <w:t>th event entitled “</w:t>
      </w:r>
      <w:r>
        <w:rPr>
          <w:rFonts w:eastAsia="Times New Roman" w:cs="Arial"/>
          <w:color w:val="000000"/>
          <w:spacing w:val="4"/>
          <w:szCs w:val="24"/>
          <w:lang w:val="en"/>
        </w:rPr>
        <w:t>Accessing Acquisition Success</w:t>
      </w:r>
      <w:r w:rsidRPr="00103C13">
        <w:rPr>
          <w:rFonts w:eastAsia="Times New Roman" w:cs="Arial"/>
          <w:color w:val="000000"/>
          <w:spacing w:val="4"/>
          <w:szCs w:val="24"/>
          <w:lang w:val="en"/>
        </w:rPr>
        <w:t xml:space="preserve">” </w:t>
      </w:r>
      <w:r>
        <w:rPr>
          <w:rFonts w:eastAsia="Times New Roman" w:cs="Arial"/>
          <w:color w:val="000000"/>
          <w:spacing w:val="4"/>
          <w:szCs w:val="24"/>
          <w:lang w:val="en"/>
        </w:rPr>
        <w:t>began with opening remarks by Jose Arietta (Associate Deputy Assistant Secretary (ADAS) for Acquisition</w:t>
      </w:r>
      <w:r w:rsidR="00D017F9">
        <w:rPr>
          <w:rFonts w:eastAsia="Times New Roman" w:cs="Arial"/>
          <w:color w:val="000000"/>
          <w:spacing w:val="4"/>
          <w:szCs w:val="24"/>
          <w:lang w:val="en"/>
        </w:rPr>
        <w:t>)</w:t>
      </w:r>
      <w:r>
        <w:rPr>
          <w:rFonts w:eastAsia="Times New Roman" w:cs="Arial"/>
          <w:color w:val="000000"/>
          <w:spacing w:val="4"/>
          <w:szCs w:val="24"/>
          <w:lang w:val="en"/>
        </w:rPr>
        <w:t xml:space="preserve"> and Andrea Brandon (Deputy Assistant Secretary (DAS), OGAPA) and prese</w:t>
      </w:r>
      <w:bookmarkStart w:id="0" w:name="_GoBack"/>
      <w:bookmarkEnd w:id="0"/>
      <w:r>
        <w:rPr>
          <w:rFonts w:eastAsia="Times New Roman" w:cs="Arial"/>
          <w:color w:val="000000"/>
          <w:spacing w:val="4"/>
          <w:szCs w:val="24"/>
          <w:lang w:val="en"/>
        </w:rPr>
        <w:t xml:space="preserve">ntations on “ReImagine HHS Acquisitions/Buy Smarter” and “Category Management &amp; the Acquisition Gateway”. Attendees then had </w:t>
      </w:r>
      <w:r w:rsidR="00CF797E">
        <w:rPr>
          <w:rFonts w:eastAsia="Times New Roman" w:cs="Arial"/>
          <w:color w:val="000000"/>
          <w:spacing w:val="4"/>
          <w:szCs w:val="24"/>
          <w:lang w:val="en"/>
        </w:rPr>
        <w:t>the opportunity</w:t>
      </w:r>
      <w:r>
        <w:rPr>
          <w:rFonts w:eastAsia="Times New Roman" w:cs="Arial"/>
          <w:color w:val="000000"/>
          <w:spacing w:val="4"/>
          <w:szCs w:val="24"/>
          <w:lang w:val="en"/>
        </w:rPr>
        <w:t xml:space="preserve"> to </w:t>
      </w:r>
      <w:r w:rsidR="00CF797E">
        <w:rPr>
          <w:rFonts w:eastAsia="Times New Roman" w:cs="Arial"/>
          <w:color w:val="000000"/>
          <w:spacing w:val="4"/>
          <w:szCs w:val="24"/>
          <w:lang w:val="en"/>
        </w:rPr>
        <w:t xml:space="preserve">go to 3 different </w:t>
      </w:r>
      <w:r>
        <w:rPr>
          <w:rFonts w:eastAsia="Times New Roman" w:cs="Arial"/>
          <w:color w:val="000000"/>
          <w:spacing w:val="4"/>
          <w:szCs w:val="24"/>
          <w:lang w:val="en"/>
        </w:rPr>
        <w:t xml:space="preserve">breakout sessions from more than 15 offered. The day ended with an Acquisition Town Hall with special guests Andrea Brandon, Jose Arietta and Diane Frasier </w:t>
      </w:r>
      <w:r w:rsidRPr="001A04FE">
        <w:rPr>
          <w:rFonts w:eastAsia="Times New Roman" w:cs="Arial"/>
          <w:color w:val="000000" w:themeColor="text1"/>
          <w:spacing w:val="4"/>
          <w:szCs w:val="24"/>
          <w:lang w:val="en"/>
        </w:rPr>
        <w:t>(</w:t>
      </w:r>
      <w:r w:rsidRPr="001A04FE">
        <w:rPr>
          <w:rFonts w:cs="Arial"/>
          <w:color w:val="000000" w:themeColor="text1"/>
          <w:szCs w:val="24"/>
        </w:rPr>
        <w:t xml:space="preserve">Director of Office of Acquisition and Logistics Management (OALM), NIH and </w:t>
      </w:r>
      <w:r w:rsidRPr="001A04FE">
        <w:rPr>
          <w:rFonts w:eastAsia="Times New Roman" w:cs="Arial"/>
          <w:color w:val="000000" w:themeColor="text1"/>
          <w:spacing w:val="4"/>
          <w:szCs w:val="24"/>
          <w:lang w:val="en"/>
        </w:rPr>
        <w:t>NIH Head of Contracting Activity (HCA)).</w:t>
      </w:r>
    </w:p>
    <w:p w:rsidR="00FA5C92" w:rsidRDefault="00FA5C92" w:rsidP="00C0583B">
      <w:pPr>
        <w:shd w:val="clear" w:color="auto" w:fill="FFFFFF"/>
        <w:spacing w:line="240" w:lineRule="auto"/>
        <w:rPr>
          <w:rFonts w:eastAsia="Times New Roman" w:cs="Arial"/>
          <w:color w:val="000000"/>
          <w:spacing w:val="4"/>
          <w:szCs w:val="24"/>
          <w:lang w:val="en"/>
        </w:rPr>
      </w:pPr>
      <w:r>
        <w:rPr>
          <w:rFonts w:eastAsia="Times New Roman" w:cs="Arial"/>
          <w:color w:val="000000"/>
          <w:spacing w:val="4"/>
          <w:szCs w:val="24"/>
          <w:lang w:val="en"/>
        </w:rPr>
        <w:t>The AMF provided attendees a valuable opportunity to learn about new initiatives and trends, to network with other acquisition professionals, and to enhance their knowledge and skills.</w:t>
      </w:r>
    </w:p>
    <w:p w:rsidR="00FA5C92" w:rsidRDefault="00FA5C92" w:rsidP="00C0583B">
      <w:pPr>
        <w:shd w:val="clear" w:color="auto" w:fill="FFFFFF"/>
        <w:spacing w:line="240" w:lineRule="auto"/>
        <w:rPr>
          <w:rFonts w:cs="Arial"/>
          <w:szCs w:val="24"/>
          <w:lang w:val="en"/>
        </w:rPr>
      </w:pPr>
    </w:p>
    <w:p w:rsidR="00293CD1" w:rsidRPr="00293CD1" w:rsidRDefault="00C801C6" w:rsidP="00C0583B">
      <w:pPr>
        <w:pStyle w:val="Heading1"/>
        <w:spacing w:before="0" w:after="120" w:line="240" w:lineRule="auto"/>
      </w:pPr>
      <w:r>
        <w:t>Have You Heard About the</w:t>
      </w:r>
      <w:r w:rsidR="00186DCB">
        <w:t xml:space="preserve"> Commercial Platform Initiative</w:t>
      </w:r>
      <w:r>
        <w:t>?</w:t>
      </w:r>
    </w:p>
    <w:p w:rsidR="00293CD1" w:rsidRPr="00293CD1" w:rsidRDefault="00293CD1" w:rsidP="00C0583B">
      <w:pPr>
        <w:autoSpaceDE w:val="0"/>
        <w:autoSpaceDN w:val="0"/>
        <w:adjustRightInd w:val="0"/>
        <w:spacing w:after="120" w:line="240" w:lineRule="auto"/>
        <w:rPr>
          <w:rFonts w:cs="Arial"/>
          <w:szCs w:val="24"/>
        </w:rPr>
      </w:pPr>
      <w:r w:rsidRPr="00293CD1">
        <w:rPr>
          <w:rFonts w:cs="Arial"/>
          <w:szCs w:val="24"/>
        </w:rPr>
        <w:t>“Procurement through com</w:t>
      </w:r>
      <w:r w:rsidR="00186DCB">
        <w:rPr>
          <w:rFonts w:cs="Arial"/>
          <w:szCs w:val="24"/>
        </w:rPr>
        <w:t>mercial e-commerce portals”</w:t>
      </w:r>
      <w:r w:rsidR="008A43A0">
        <w:rPr>
          <w:rFonts w:cs="Arial"/>
          <w:szCs w:val="24"/>
        </w:rPr>
        <w:t>,</w:t>
      </w:r>
      <w:r w:rsidR="00186DCB">
        <w:rPr>
          <w:rFonts w:cs="Arial"/>
          <w:szCs w:val="24"/>
        </w:rPr>
        <w:t xml:space="preserve"> </w:t>
      </w:r>
      <w:r w:rsidR="008A43A0">
        <w:rPr>
          <w:rFonts w:cs="Arial"/>
          <w:szCs w:val="24"/>
        </w:rPr>
        <w:t xml:space="preserve">also known as the Commercial Platform Initiative, </w:t>
      </w:r>
      <w:r w:rsidR="00186DCB">
        <w:rPr>
          <w:rFonts w:cs="Arial"/>
          <w:szCs w:val="24"/>
        </w:rPr>
        <w:t>was</w:t>
      </w:r>
      <w:r w:rsidRPr="00293CD1">
        <w:rPr>
          <w:rFonts w:cs="Arial"/>
          <w:szCs w:val="24"/>
        </w:rPr>
        <w:t xml:space="preserve"> made law by </w:t>
      </w:r>
      <w:hyperlink r:id="rId7" w:anchor="page=201" w:tooltip="Section 846 of the National Defense Authorization Act (NDAA) for Fiscal Year 2018" w:history="1">
        <w:r w:rsidRPr="00CB0566">
          <w:rPr>
            <w:rStyle w:val="Hyperlink"/>
          </w:rPr>
          <w:t>Section 846 of the National Defense Authorization Act (NDAA) for Fiscal Year 2018</w:t>
        </w:r>
      </w:hyperlink>
      <w:r w:rsidRPr="00293CD1">
        <w:rPr>
          <w:rFonts w:cs="Arial"/>
          <w:szCs w:val="24"/>
        </w:rPr>
        <w:t xml:space="preserve">. </w:t>
      </w:r>
      <w:r>
        <w:rPr>
          <w:rFonts w:cs="Arial"/>
          <w:szCs w:val="24"/>
        </w:rPr>
        <w:t>But what is it</w:t>
      </w:r>
      <w:r w:rsidR="005C1E6B">
        <w:rPr>
          <w:rFonts w:cs="Arial"/>
          <w:szCs w:val="24"/>
        </w:rPr>
        <w:t xml:space="preserve"> and when will it affect us</w:t>
      </w:r>
      <w:r w:rsidRPr="00293CD1">
        <w:rPr>
          <w:rFonts w:cs="Arial"/>
          <w:szCs w:val="24"/>
        </w:rPr>
        <w:t>?</w:t>
      </w:r>
    </w:p>
    <w:p w:rsidR="00305C96" w:rsidRDefault="00305C96" w:rsidP="00C0583B">
      <w:pPr>
        <w:autoSpaceDE w:val="0"/>
        <w:autoSpaceDN w:val="0"/>
        <w:adjustRightInd w:val="0"/>
        <w:spacing w:after="120" w:line="240" w:lineRule="auto"/>
        <w:rPr>
          <w:rFonts w:cs="Arial"/>
          <w:szCs w:val="24"/>
        </w:rPr>
      </w:pPr>
      <w:r>
        <w:rPr>
          <w:rFonts w:cs="Arial"/>
          <w:szCs w:val="24"/>
        </w:rPr>
        <w:t>The</w:t>
      </w:r>
      <w:r w:rsidRPr="00293CD1">
        <w:rPr>
          <w:rFonts w:cs="Arial"/>
          <w:szCs w:val="24"/>
        </w:rPr>
        <w:t xml:space="preserve"> program is currently </w:t>
      </w:r>
      <w:r>
        <w:rPr>
          <w:rFonts w:cs="Arial"/>
          <w:szCs w:val="24"/>
        </w:rPr>
        <w:t xml:space="preserve">under </w:t>
      </w:r>
      <w:r w:rsidR="00FA5C92">
        <w:rPr>
          <w:rFonts w:cs="Arial"/>
          <w:szCs w:val="24"/>
        </w:rPr>
        <w:t>development</w:t>
      </w:r>
      <w:r w:rsidRPr="00293CD1">
        <w:rPr>
          <w:rFonts w:cs="Arial"/>
          <w:szCs w:val="24"/>
        </w:rPr>
        <w:t xml:space="preserve">. </w:t>
      </w:r>
      <w:r>
        <w:rPr>
          <w:rFonts w:cs="Arial"/>
          <w:szCs w:val="24"/>
        </w:rPr>
        <w:t>O</w:t>
      </w:r>
      <w:r w:rsidRPr="005635ED">
        <w:rPr>
          <w:rFonts w:cs="Arial"/>
          <w:szCs w:val="24"/>
        </w:rPr>
        <w:t>nly commercially available off-the-shelf products not exceeding the Simplified Acquisition Threshold will be available through the e-portals.</w:t>
      </w:r>
    </w:p>
    <w:p w:rsidR="001A04FE" w:rsidRDefault="00E33222" w:rsidP="00C0583B">
      <w:pPr>
        <w:autoSpaceDE w:val="0"/>
        <w:autoSpaceDN w:val="0"/>
        <w:adjustRightInd w:val="0"/>
        <w:spacing w:after="120" w:line="240" w:lineRule="auto"/>
        <w:rPr>
          <w:rFonts w:cs="Arial"/>
          <w:szCs w:val="24"/>
        </w:rPr>
      </w:pPr>
      <w:hyperlink r:id="rId8" w:anchor="page=201" w:tooltip="Section 846(a)" w:history="1">
        <w:r w:rsidR="00293CD1" w:rsidRPr="00CB0566">
          <w:rPr>
            <w:rStyle w:val="Hyperlink"/>
          </w:rPr>
          <w:t>Section 846(a)</w:t>
        </w:r>
      </w:hyperlink>
      <w:r w:rsidR="00293CD1" w:rsidRPr="00293CD1">
        <w:rPr>
          <w:rFonts w:cs="Arial"/>
          <w:szCs w:val="24"/>
        </w:rPr>
        <w:t xml:space="preserve"> of the NDAA states, “The Administrator shall establish a program to procure commercial products through commercial e-commerce portals for purposes of enhancing competition, expediting procurement, enabling market research, and ensuring reasonable</w:t>
      </w:r>
      <w:r w:rsidR="001A04FE">
        <w:rPr>
          <w:rFonts w:cs="Arial"/>
          <w:szCs w:val="24"/>
        </w:rPr>
        <w:t xml:space="preserve"> pricing of commercial products.</w:t>
      </w:r>
      <w:r w:rsidR="00293CD1" w:rsidRPr="00293CD1">
        <w:rPr>
          <w:rFonts w:cs="Arial"/>
          <w:szCs w:val="24"/>
        </w:rPr>
        <w:t>” Section 846(a) goes on to say that there will be multiple commercial e-commerce portal providers through multiple contracts</w:t>
      </w:r>
      <w:r w:rsidR="001A04FE">
        <w:rPr>
          <w:rFonts w:cs="Arial"/>
          <w:szCs w:val="24"/>
        </w:rPr>
        <w:t xml:space="preserve"> to be implemented in phases</w:t>
      </w:r>
      <w:r w:rsidR="00293CD1" w:rsidRPr="00293CD1">
        <w:rPr>
          <w:rFonts w:cs="Arial"/>
          <w:szCs w:val="24"/>
        </w:rPr>
        <w:t>.</w:t>
      </w:r>
    </w:p>
    <w:p w:rsidR="00293CD1" w:rsidRPr="005635ED" w:rsidRDefault="00925EF7" w:rsidP="00C0583B">
      <w:pPr>
        <w:autoSpaceDE w:val="0"/>
        <w:autoSpaceDN w:val="0"/>
        <w:adjustRightInd w:val="0"/>
        <w:spacing w:after="120" w:line="240" w:lineRule="auto"/>
        <w:rPr>
          <w:rFonts w:cs="Arial"/>
          <w:szCs w:val="24"/>
        </w:rPr>
      </w:pPr>
      <w:r>
        <w:rPr>
          <w:rFonts w:cs="Arial"/>
          <w:szCs w:val="24"/>
        </w:rPr>
        <w:t>Section 846 established that t</w:t>
      </w:r>
      <w:r w:rsidR="00293CD1" w:rsidRPr="00293CD1">
        <w:rPr>
          <w:rFonts w:cs="Arial"/>
          <w:szCs w:val="24"/>
        </w:rPr>
        <w:t>he program will be i</w:t>
      </w:r>
      <w:r w:rsidR="00293CD1" w:rsidRPr="005635ED">
        <w:rPr>
          <w:rFonts w:cs="Arial"/>
          <w:szCs w:val="24"/>
        </w:rPr>
        <w:t xml:space="preserve">mplemented in </w:t>
      </w:r>
      <w:r w:rsidR="00652490">
        <w:rPr>
          <w:rFonts w:cs="Arial"/>
          <w:szCs w:val="24"/>
        </w:rPr>
        <w:t xml:space="preserve">at least </w:t>
      </w:r>
      <w:r w:rsidR="00293CD1" w:rsidRPr="005635ED">
        <w:rPr>
          <w:rFonts w:cs="Arial"/>
          <w:szCs w:val="24"/>
        </w:rPr>
        <w:t>three phases spanning 2</w:t>
      </w:r>
      <w:r w:rsidR="00E911F6" w:rsidRPr="005635ED">
        <w:rPr>
          <w:rFonts w:cs="Arial"/>
          <w:szCs w:val="24"/>
        </w:rPr>
        <w:t>+ years</w:t>
      </w:r>
      <w:r w:rsidRPr="005635ED">
        <w:rPr>
          <w:rFonts w:cs="Arial"/>
          <w:szCs w:val="24"/>
        </w:rPr>
        <w:t xml:space="preserve"> with more phases to be added if needed</w:t>
      </w:r>
      <w:r w:rsidR="00E911F6" w:rsidRPr="005635ED">
        <w:rPr>
          <w:rFonts w:cs="Arial"/>
          <w:szCs w:val="24"/>
        </w:rPr>
        <w:t>. The phases are: Phase 1</w:t>
      </w:r>
      <w:r w:rsidR="00293CD1" w:rsidRPr="005635ED">
        <w:rPr>
          <w:rFonts w:cs="Arial"/>
          <w:szCs w:val="24"/>
        </w:rPr>
        <w:t>, Implementation Plan</w:t>
      </w:r>
      <w:r w:rsidR="00E911F6" w:rsidRPr="005635ED">
        <w:rPr>
          <w:rFonts w:cs="Arial"/>
          <w:szCs w:val="24"/>
        </w:rPr>
        <w:t xml:space="preserve"> (90 days)</w:t>
      </w:r>
      <w:r w:rsidR="00293CD1" w:rsidRPr="005635ED">
        <w:rPr>
          <w:rFonts w:cs="Arial"/>
          <w:szCs w:val="24"/>
        </w:rPr>
        <w:t xml:space="preserve">; Phase </w:t>
      </w:r>
      <w:r w:rsidR="00D017F9">
        <w:rPr>
          <w:rFonts w:cs="Arial"/>
          <w:szCs w:val="24"/>
        </w:rPr>
        <w:t>2</w:t>
      </w:r>
      <w:r w:rsidR="00293CD1" w:rsidRPr="005635ED">
        <w:rPr>
          <w:rFonts w:cs="Arial"/>
          <w:szCs w:val="24"/>
        </w:rPr>
        <w:t>, Market Analysis and Consultation</w:t>
      </w:r>
      <w:r w:rsidR="00E911F6" w:rsidRPr="005635ED">
        <w:rPr>
          <w:rFonts w:cs="Arial"/>
          <w:szCs w:val="24"/>
        </w:rPr>
        <w:t xml:space="preserve"> (90 days + 1 year); and Phase 3</w:t>
      </w:r>
      <w:r w:rsidR="00293CD1" w:rsidRPr="005635ED">
        <w:rPr>
          <w:rFonts w:cs="Arial"/>
          <w:szCs w:val="24"/>
        </w:rPr>
        <w:t>, Program Implementation Guidance</w:t>
      </w:r>
      <w:r w:rsidR="00E911F6" w:rsidRPr="005635ED">
        <w:rPr>
          <w:rFonts w:cs="Arial"/>
          <w:szCs w:val="24"/>
        </w:rPr>
        <w:t xml:space="preserve"> (90 days + 2 years)</w:t>
      </w:r>
      <w:r w:rsidR="00293CD1" w:rsidRPr="005635ED">
        <w:rPr>
          <w:rFonts w:cs="Arial"/>
          <w:szCs w:val="24"/>
        </w:rPr>
        <w:t xml:space="preserve">. </w:t>
      </w:r>
      <w:r w:rsidR="00E911F6" w:rsidRPr="005635ED">
        <w:rPr>
          <w:rFonts w:cs="Arial"/>
          <w:szCs w:val="24"/>
        </w:rPr>
        <w:t xml:space="preserve">The </w:t>
      </w:r>
      <w:hyperlink r:id="rId9" w:tooltip="Phase I Implementation Plan" w:history="1">
        <w:r w:rsidR="00E911F6" w:rsidRPr="00CB0566">
          <w:rPr>
            <w:rStyle w:val="Hyperlink"/>
          </w:rPr>
          <w:t>Phase I Implementation Plan</w:t>
        </w:r>
      </w:hyperlink>
      <w:r w:rsidR="00E911F6" w:rsidRPr="005635ED">
        <w:rPr>
          <w:rFonts w:cs="Arial"/>
          <w:szCs w:val="24"/>
        </w:rPr>
        <w:t xml:space="preserve"> has just been issued </w:t>
      </w:r>
      <w:r w:rsidR="005B6EA7">
        <w:rPr>
          <w:rFonts w:cs="Arial"/>
          <w:szCs w:val="24"/>
        </w:rPr>
        <w:t>(March 16</w:t>
      </w:r>
      <w:r w:rsidR="005B6EA7" w:rsidRPr="005B6EA7">
        <w:rPr>
          <w:rFonts w:cs="Arial"/>
          <w:szCs w:val="24"/>
          <w:vertAlign w:val="superscript"/>
        </w:rPr>
        <w:t>th</w:t>
      </w:r>
      <w:r w:rsidR="005B6EA7">
        <w:rPr>
          <w:rFonts w:cs="Arial"/>
          <w:szCs w:val="24"/>
        </w:rPr>
        <w:t xml:space="preserve">) </w:t>
      </w:r>
      <w:r w:rsidR="00E911F6" w:rsidRPr="005635ED">
        <w:rPr>
          <w:rFonts w:cs="Arial"/>
          <w:szCs w:val="24"/>
        </w:rPr>
        <w:t>by GSA and OMB. The implementation approach adds a Phase 4, Potential Initial Rollout (by the end of FY19) and Phase 5, Assess and Scale Rollout (by the end of FY20).</w:t>
      </w:r>
    </w:p>
    <w:p w:rsidR="00305C96" w:rsidRDefault="00545AFA" w:rsidP="00C0583B">
      <w:pPr>
        <w:autoSpaceDE w:val="0"/>
        <w:autoSpaceDN w:val="0"/>
        <w:adjustRightInd w:val="0"/>
        <w:spacing w:after="120" w:line="240" w:lineRule="auto"/>
        <w:rPr>
          <w:rFonts w:cs="Arial"/>
          <w:szCs w:val="24"/>
        </w:rPr>
      </w:pPr>
      <w:r w:rsidRPr="005635ED">
        <w:rPr>
          <w:rFonts w:cs="Arial"/>
          <w:szCs w:val="24"/>
        </w:rPr>
        <w:t>The</w:t>
      </w:r>
      <w:r w:rsidR="00186DCB" w:rsidRPr="005635ED">
        <w:rPr>
          <w:rFonts w:cs="Arial"/>
          <w:szCs w:val="24"/>
        </w:rPr>
        <w:t xml:space="preserve"> </w:t>
      </w:r>
      <w:r w:rsidR="00293CD1" w:rsidRPr="005635ED">
        <w:rPr>
          <w:rFonts w:cs="Arial"/>
          <w:szCs w:val="24"/>
        </w:rPr>
        <w:t xml:space="preserve">program authorizes commercial e-commerce portals that will be similar to the commercial e-commerce portals many </w:t>
      </w:r>
      <w:r w:rsidR="00FA5C92">
        <w:rPr>
          <w:rFonts w:cs="Arial"/>
          <w:szCs w:val="24"/>
        </w:rPr>
        <w:t>of us use in our personal lives;</w:t>
      </w:r>
      <w:r w:rsidR="00293CD1" w:rsidRPr="005635ED">
        <w:rPr>
          <w:rFonts w:cs="Arial"/>
          <w:szCs w:val="24"/>
        </w:rPr>
        <w:t xml:space="preserve"> </w:t>
      </w:r>
      <w:proofErr w:type="gramStart"/>
      <w:r w:rsidR="00293CD1" w:rsidRPr="005635ED">
        <w:rPr>
          <w:rFonts w:cs="Arial"/>
          <w:szCs w:val="24"/>
        </w:rPr>
        <w:t>however</w:t>
      </w:r>
      <w:proofErr w:type="gramEnd"/>
      <w:r w:rsidR="00293CD1" w:rsidRPr="005635ED">
        <w:rPr>
          <w:rFonts w:cs="Arial"/>
          <w:szCs w:val="24"/>
        </w:rPr>
        <w:t xml:space="preserve"> the Government has specific requirements that the commercial sector does not. </w:t>
      </w:r>
      <w:r w:rsidR="00186DCB" w:rsidRPr="005635ED">
        <w:rPr>
          <w:rFonts w:cs="Arial"/>
          <w:szCs w:val="24"/>
        </w:rPr>
        <w:t>M</w:t>
      </w:r>
      <w:r w:rsidR="00293CD1" w:rsidRPr="005635ED">
        <w:rPr>
          <w:rFonts w:cs="Arial"/>
          <w:szCs w:val="24"/>
        </w:rPr>
        <w:t>any details, such as how the platforms will accommodate existing statutes and regulations</w:t>
      </w:r>
      <w:r w:rsidR="008A43A0">
        <w:rPr>
          <w:rFonts w:cs="Arial"/>
          <w:szCs w:val="24"/>
        </w:rPr>
        <w:t>,</w:t>
      </w:r>
      <w:r w:rsidR="00293CD1" w:rsidRPr="005635ED">
        <w:rPr>
          <w:rFonts w:cs="Arial"/>
          <w:szCs w:val="24"/>
        </w:rPr>
        <w:t xml:space="preserve"> </w:t>
      </w:r>
      <w:r w:rsidR="00305C96">
        <w:rPr>
          <w:rFonts w:cs="Arial"/>
          <w:szCs w:val="24"/>
        </w:rPr>
        <w:t xml:space="preserve">still </w:t>
      </w:r>
      <w:r w:rsidR="00293CD1" w:rsidRPr="005635ED">
        <w:rPr>
          <w:rFonts w:cs="Arial"/>
          <w:szCs w:val="24"/>
        </w:rPr>
        <w:t>need to be determined.</w:t>
      </w:r>
      <w:r w:rsidR="005635ED">
        <w:rPr>
          <w:rFonts w:cs="Arial"/>
          <w:szCs w:val="24"/>
        </w:rPr>
        <w:t xml:space="preserve"> </w:t>
      </w:r>
      <w:r w:rsidR="005635ED" w:rsidRPr="005635ED">
        <w:rPr>
          <w:rFonts w:cs="Arial"/>
          <w:szCs w:val="24"/>
        </w:rPr>
        <w:t xml:space="preserve">The </w:t>
      </w:r>
      <w:hyperlink r:id="rId10" w:tooltip="Phase I Implementation Plan" w:history="1">
        <w:r w:rsidR="005635ED" w:rsidRPr="00CB0566">
          <w:rPr>
            <w:rStyle w:val="Hyperlink"/>
          </w:rPr>
          <w:t>Phase I Implementation Plan</w:t>
        </w:r>
      </w:hyperlink>
      <w:r w:rsidR="005635ED">
        <w:rPr>
          <w:rFonts w:cs="Arial"/>
          <w:szCs w:val="24"/>
        </w:rPr>
        <w:t xml:space="preserve"> </w:t>
      </w:r>
      <w:r w:rsidR="005635ED" w:rsidRPr="005635ED">
        <w:rPr>
          <w:rFonts w:cs="Arial"/>
          <w:szCs w:val="24"/>
        </w:rPr>
        <w:t xml:space="preserve">provides some insight on GSA’s </w:t>
      </w:r>
      <w:r w:rsidR="00FA5C92">
        <w:rPr>
          <w:rFonts w:cs="Arial"/>
          <w:szCs w:val="24"/>
        </w:rPr>
        <w:t>implementation approach including recommendations for four legislative changes.</w:t>
      </w:r>
    </w:p>
    <w:p w:rsidR="00186DCB" w:rsidRDefault="00293CD1" w:rsidP="00C0583B">
      <w:pPr>
        <w:autoSpaceDE w:val="0"/>
        <w:autoSpaceDN w:val="0"/>
        <w:adjustRightInd w:val="0"/>
        <w:spacing w:line="240" w:lineRule="auto"/>
        <w:rPr>
          <w:rFonts w:cs="Arial"/>
          <w:szCs w:val="24"/>
        </w:rPr>
      </w:pPr>
      <w:r w:rsidRPr="005635ED">
        <w:rPr>
          <w:rFonts w:cs="Arial"/>
          <w:szCs w:val="24"/>
        </w:rPr>
        <w:t xml:space="preserve">If you would like to follow the development of the program, the GSA has established a </w:t>
      </w:r>
      <w:hyperlink r:id="rId11" w:tooltip="GSA Commercial Platform Initiative" w:history="1">
        <w:r w:rsidRPr="00CB0566">
          <w:rPr>
            <w:rStyle w:val="Hyperlink"/>
          </w:rPr>
          <w:t>website</w:t>
        </w:r>
      </w:hyperlink>
      <w:r w:rsidRPr="005635ED">
        <w:rPr>
          <w:rFonts w:cs="Arial"/>
          <w:szCs w:val="24"/>
        </w:rPr>
        <w:t xml:space="preserve"> to post updates. Stay tuned for more information in the upcoming months/years</w:t>
      </w:r>
      <w:r w:rsidRPr="008A43A0">
        <w:t>!</w:t>
      </w:r>
    </w:p>
    <w:p w:rsidR="00CF797E" w:rsidRPr="005635ED" w:rsidRDefault="00CF797E" w:rsidP="00C0583B">
      <w:pPr>
        <w:autoSpaceDE w:val="0"/>
        <w:autoSpaceDN w:val="0"/>
        <w:adjustRightInd w:val="0"/>
        <w:spacing w:line="240" w:lineRule="auto"/>
        <w:rPr>
          <w:rFonts w:cs="Arial"/>
          <w:szCs w:val="24"/>
        </w:rPr>
      </w:pPr>
    </w:p>
    <w:p w:rsidR="00C0583B" w:rsidRDefault="00182B68" w:rsidP="00C0583B">
      <w:pPr>
        <w:pStyle w:val="Heading1"/>
        <w:spacing w:line="240" w:lineRule="auto"/>
      </w:pPr>
      <w:r w:rsidRPr="00182B68">
        <w:lastRenderedPageBreak/>
        <w:t xml:space="preserve">Purchase Card Users: Important Information on </w:t>
      </w:r>
    </w:p>
    <w:p w:rsidR="00182B68" w:rsidRPr="00182B68" w:rsidRDefault="00182B68" w:rsidP="00C0583B">
      <w:pPr>
        <w:pStyle w:val="Heading1"/>
        <w:spacing w:after="120" w:line="240" w:lineRule="auto"/>
      </w:pPr>
      <w:r w:rsidRPr="00182B68">
        <w:t>NIH Tr</w:t>
      </w:r>
      <w:r w:rsidR="00AE4F9B">
        <w:t>ansition to GSA SmartPay3</w:t>
      </w:r>
    </w:p>
    <w:p w:rsidR="006D3B0E" w:rsidRDefault="00182B68" w:rsidP="00C0583B">
      <w:pPr>
        <w:spacing w:after="120" w:line="240" w:lineRule="auto"/>
        <w:rPr>
          <w:rFonts w:cs="Arial"/>
          <w:szCs w:val="24"/>
        </w:rPr>
      </w:pPr>
      <w:r w:rsidRPr="00182B68">
        <w:rPr>
          <w:rFonts w:cs="Arial"/>
          <w:szCs w:val="24"/>
        </w:rPr>
        <w:t>The current GSA SmartPay2 (SP2) master contract wil</w:t>
      </w:r>
      <w:r w:rsidR="00AE4F9B">
        <w:rPr>
          <w:rFonts w:cs="Arial"/>
          <w:szCs w:val="24"/>
        </w:rPr>
        <w:t>l expire on November 29, 2018. </w:t>
      </w:r>
      <w:r w:rsidRPr="00182B68">
        <w:rPr>
          <w:rFonts w:cs="Arial"/>
          <w:szCs w:val="24"/>
        </w:rPr>
        <w:t>SP2 is the contract in which NIH’s purchase, tra</w:t>
      </w:r>
      <w:r>
        <w:rPr>
          <w:rFonts w:cs="Arial"/>
          <w:szCs w:val="24"/>
        </w:rPr>
        <w:t>vel and fleet cards are under. </w:t>
      </w:r>
      <w:r w:rsidRPr="00182B68">
        <w:rPr>
          <w:rFonts w:cs="Arial"/>
          <w:szCs w:val="24"/>
        </w:rPr>
        <w:t>SmartPay 3 (SP3) will officially begin November 30, 2018; however, planning for the transition and implementation has already begun.</w:t>
      </w:r>
    </w:p>
    <w:p w:rsidR="00182B68" w:rsidRPr="00182B68" w:rsidRDefault="00182B68" w:rsidP="00C0583B">
      <w:pPr>
        <w:spacing w:after="120" w:line="240" w:lineRule="auto"/>
        <w:rPr>
          <w:rFonts w:cs="Arial"/>
          <w:szCs w:val="24"/>
        </w:rPr>
      </w:pPr>
      <w:r w:rsidRPr="00C0583B">
        <w:rPr>
          <w:rStyle w:val="IntenseReference"/>
        </w:rPr>
        <w:t>The transition from SP2 to SP3 will have a significant impact on the NIH Purchase Card Community</w:t>
      </w:r>
      <w:r w:rsidRPr="00182B68">
        <w:rPr>
          <w:rFonts w:cs="Arial"/>
          <w:bCs/>
          <w:szCs w:val="24"/>
        </w:rPr>
        <w:t xml:space="preserve">. </w:t>
      </w:r>
      <w:r w:rsidRPr="00182B68">
        <w:rPr>
          <w:rFonts w:cs="Arial"/>
          <w:szCs w:val="24"/>
        </w:rPr>
        <w:t xml:space="preserve">All purchase card accounts under the current SP2 program with JP Morgan will be deactivated on November 29, 2018. New purchase cards </w:t>
      </w:r>
      <w:proofErr w:type="gramStart"/>
      <w:r w:rsidRPr="00182B68">
        <w:rPr>
          <w:rFonts w:cs="Arial"/>
          <w:szCs w:val="24"/>
        </w:rPr>
        <w:t>accounts</w:t>
      </w:r>
      <w:proofErr w:type="gramEnd"/>
      <w:r w:rsidRPr="00182B68">
        <w:rPr>
          <w:rFonts w:cs="Arial"/>
          <w:szCs w:val="24"/>
        </w:rPr>
        <w:t xml:space="preserve"> with the new bank under SP3 will be issued</w:t>
      </w:r>
      <w:r>
        <w:rPr>
          <w:rFonts w:cs="Arial"/>
          <w:szCs w:val="24"/>
        </w:rPr>
        <w:t xml:space="preserve"> and delivered sometime in the F</w:t>
      </w:r>
      <w:r w:rsidRPr="00182B68">
        <w:rPr>
          <w:rFonts w:cs="Arial"/>
          <w:szCs w:val="24"/>
        </w:rPr>
        <w:t>all, and the new cards will be available for use on November 30, 2018.</w:t>
      </w:r>
    </w:p>
    <w:p w:rsidR="006D3B0E" w:rsidRDefault="00182B68" w:rsidP="00C0583B">
      <w:pPr>
        <w:spacing w:after="120" w:line="240" w:lineRule="auto"/>
        <w:rPr>
          <w:rFonts w:cs="Arial"/>
          <w:szCs w:val="24"/>
        </w:rPr>
      </w:pPr>
      <w:r w:rsidRPr="00182B68">
        <w:rPr>
          <w:rFonts w:cs="Arial"/>
          <w:szCs w:val="24"/>
        </w:rPr>
        <w:t>Under SP3, GSA has awarded master contracts to tw</w:t>
      </w:r>
      <w:r>
        <w:rPr>
          <w:rFonts w:cs="Arial"/>
          <w:szCs w:val="24"/>
        </w:rPr>
        <w:t xml:space="preserve">o banks, Citibank and US Bank. </w:t>
      </w:r>
      <w:r w:rsidRPr="00182B68">
        <w:rPr>
          <w:rFonts w:cs="Arial"/>
          <w:szCs w:val="24"/>
        </w:rPr>
        <w:t>In the next month or two, HHS will be issuing a task order to one of these banks. NIH has provided specific needs and requirements to HHS so that these will be included in the agency’s task order. Our current servicing bank, JPMorgan, will n</w:t>
      </w:r>
      <w:r w:rsidR="006D3B0E">
        <w:rPr>
          <w:rFonts w:cs="Arial"/>
          <w:szCs w:val="24"/>
        </w:rPr>
        <w:t>ot be participating under SP3.</w:t>
      </w:r>
    </w:p>
    <w:p w:rsidR="00182B68" w:rsidRPr="00182B68" w:rsidRDefault="00182B68" w:rsidP="00C0583B">
      <w:pPr>
        <w:spacing w:after="120" w:line="240" w:lineRule="auto"/>
        <w:rPr>
          <w:rFonts w:cs="Arial"/>
          <w:szCs w:val="24"/>
        </w:rPr>
      </w:pPr>
      <w:r w:rsidRPr="00182B68">
        <w:rPr>
          <w:rFonts w:cs="Arial"/>
          <w:szCs w:val="24"/>
        </w:rPr>
        <w:t>As part of the transition preparation, the NIH Purchase Card Office has already been working with IC Purchase Card Coordinators on account clean-up projects (such as address and phone number updates, inactive accounts with little or no activity, excessive account limits, etc.). It is critical for cardholders and card approving officials (CAOs) to notify their IC Coordinator of any immediate or impending administrative account changes such as these, or changes in account statuses (e.g. cardholder or CAO leaving the IC or agency), so that when new accounts are set up with the new bank under SP3, th</w:t>
      </w:r>
      <w:r>
        <w:rPr>
          <w:rFonts w:cs="Arial"/>
          <w:szCs w:val="24"/>
        </w:rPr>
        <w:t>e information will be correct. </w:t>
      </w:r>
      <w:r w:rsidRPr="00182B68">
        <w:rPr>
          <w:rFonts w:cs="Arial"/>
          <w:szCs w:val="24"/>
        </w:rPr>
        <w:t>This will ensure the proper establishment of new accounts and accurate delivery of new cards.</w:t>
      </w:r>
    </w:p>
    <w:p w:rsidR="00182B68" w:rsidRPr="00182B68" w:rsidRDefault="00182B68" w:rsidP="00C0583B">
      <w:pPr>
        <w:spacing w:after="120" w:line="240" w:lineRule="auto"/>
        <w:rPr>
          <w:rFonts w:cs="Arial"/>
          <w:szCs w:val="24"/>
        </w:rPr>
      </w:pPr>
      <w:r w:rsidRPr="00182B68">
        <w:rPr>
          <w:rFonts w:cs="Arial"/>
          <w:szCs w:val="24"/>
        </w:rPr>
        <w:t>The NIH Purchase Card Office will continue to keep the community abreast throughout t</w:t>
      </w:r>
      <w:r>
        <w:rPr>
          <w:rFonts w:cs="Arial"/>
          <w:szCs w:val="24"/>
        </w:rPr>
        <w:t>he transition process. </w:t>
      </w:r>
      <w:r w:rsidRPr="00182B68">
        <w:rPr>
          <w:rFonts w:cs="Arial"/>
          <w:szCs w:val="24"/>
        </w:rPr>
        <w:t>In the interim, purchase cardholders and CAOs should continue to use their current JP Morgan purchase card accounts to process and approve authorized purchases as usual.</w:t>
      </w:r>
    </w:p>
    <w:p w:rsidR="006D3B0E" w:rsidRDefault="00182B68" w:rsidP="00C0583B">
      <w:pPr>
        <w:spacing w:after="120" w:line="240" w:lineRule="auto"/>
        <w:rPr>
          <w:rFonts w:cs="Arial"/>
          <w:szCs w:val="24"/>
        </w:rPr>
      </w:pPr>
      <w:r w:rsidRPr="00182B68">
        <w:rPr>
          <w:rFonts w:cs="Arial"/>
          <w:szCs w:val="24"/>
        </w:rPr>
        <w:t xml:space="preserve">Additional information on the SP3 transition will be posted to the </w:t>
      </w:r>
      <w:hyperlink r:id="rId12" w:tooltip="NIH Purchase Card Website" w:history="1">
        <w:r w:rsidRPr="00CB0566">
          <w:rPr>
            <w:rStyle w:val="Hyperlink"/>
          </w:rPr>
          <w:t>NIH Purchase Card Website</w:t>
        </w:r>
      </w:hyperlink>
      <w:r w:rsidRPr="00182B68">
        <w:rPr>
          <w:rFonts w:cs="Arial"/>
          <w:szCs w:val="24"/>
        </w:rPr>
        <w:t xml:space="preserve"> in the coming weeks.</w:t>
      </w:r>
    </w:p>
    <w:p w:rsidR="00D017F9" w:rsidRPr="00182B68" w:rsidRDefault="00182B68" w:rsidP="00C0583B">
      <w:pPr>
        <w:spacing w:line="240" w:lineRule="auto"/>
        <w:rPr>
          <w:rFonts w:cs="Arial"/>
          <w:szCs w:val="24"/>
        </w:rPr>
      </w:pPr>
      <w:r w:rsidRPr="00182B68">
        <w:rPr>
          <w:rFonts w:cs="Arial"/>
          <w:szCs w:val="24"/>
        </w:rPr>
        <w:t xml:space="preserve">If you have any questions on SP3 transition activities for NIH, please contact Maria Snowden at 301-435-3928 or </w:t>
      </w:r>
      <w:hyperlink r:id="rId13" w:tooltip="maria.snowden@nih.gov" w:history="1">
        <w:r w:rsidRPr="00CB0566">
          <w:rPr>
            <w:rStyle w:val="Hyperlink"/>
          </w:rPr>
          <w:t>maria.snowden@nih.gov</w:t>
        </w:r>
      </w:hyperlink>
      <w:r w:rsidRPr="00182B68">
        <w:rPr>
          <w:rFonts w:cs="Arial"/>
          <w:szCs w:val="24"/>
        </w:rPr>
        <w:t>.</w:t>
      </w:r>
    </w:p>
    <w:p w:rsidR="00186DCB" w:rsidRPr="00186DCB" w:rsidRDefault="00186DCB" w:rsidP="00C0583B">
      <w:pPr>
        <w:spacing w:line="240" w:lineRule="auto"/>
        <w:rPr>
          <w:szCs w:val="24"/>
        </w:rPr>
      </w:pPr>
    </w:p>
    <w:p w:rsidR="00E10A86" w:rsidRPr="00186DCB" w:rsidRDefault="00E10A86" w:rsidP="00C0583B">
      <w:pPr>
        <w:pStyle w:val="Heading1"/>
        <w:spacing w:before="0" w:after="120" w:line="240" w:lineRule="auto"/>
        <w:rPr>
          <w:rFonts w:cs="Arial"/>
          <w:szCs w:val="24"/>
        </w:rPr>
      </w:pPr>
      <w:r w:rsidRPr="00AF6D40">
        <w:t>NIH Purchase Card</w:t>
      </w:r>
      <w:r>
        <w:t>holder or CAO</w:t>
      </w:r>
      <w:r w:rsidRPr="00AF6D40">
        <w:t xml:space="preserve"> Proxy</w:t>
      </w:r>
    </w:p>
    <w:p w:rsidR="009C67C6" w:rsidRPr="00E10A86" w:rsidRDefault="00E10A86" w:rsidP="00C0583B">
      <w:pPr>
        <w:pStyle w:val="Default"/>
        <w:spacing w:after="120"/>
        <w:rPr>
          <w:rFonts w:ascii="Arial" w:hAnsi="Arial" w:cs="Arial"/>
        </w:rPr>
      </w:pPr>
      <w:r w:rsidRPr="00E10A86">
        <w:rPr>
          <w:rFonts w:ascii="Arial" w:hAnsi="Arial" w:cs="Arial"/>
        </w:rPr>
        <w:t>A purchase cardholder or Card Approving Official (CAO) proxy is a cardholder or CAO that is temporarily assigned to act during the reconciliation period on behalf of another cardholder or CAO who is unable to complete the reconciliation process in NBS. Typically, this is due to someone being out on leave or the original cardholder or CAO has left NIH and is no longer able to complete the reconciliation process.</w:t>
      </w:r>
    </w:p>
    <w:p w:rsidR="009C67C6" w:rsidRDefault="00E10A86" w:rsidP="00C0583B">
      <w:pPr>
        <w:pStyle w:val="Default"/>
        <w:spacing w:after="120"/>
        <w:rPr>
          <w:rFonts w:ascii="Arial" w:hAnsi="Arial" w:cs="Arial"/>
        </w:rPr>
      </w:pPr>
      <w:r w:rsidRPr="00E10A86">
        <w:rPr>
          <w:rFonts w:ascii="Arial" w:hAnsi="Arial" w:cs="Arial"/>
        </w:rPr>
        <w:t>If a cardholder or CAO is unavailable to complete the reconciliation of the purchase card statement (matching invoices to logs, verifying transactions and approving them), a proxy should be assigned to reconcile the account.  Assigning a cardholder proxy enables another cardholder to match invoices to logs and verify purchases on behalf of the original card</w:t>
      </w:r>
      <w:r w:rsidR="00BA6EC1">
        <w:rPr>
          <w:rFonts w:ascii="Arial" w:hAnsi="Arial" w:cs="Arial"/>
        </w:rPr>
        <w:t xml:space="preserve">holder who made the purchases. </w:t>
      </w:r>
      <w:r w:rsidRPr="00E10A86">
        <w:rPr>
          <w:rFonts w:ascii="Arial" w:hAnsi="Arial" w:cs="Arial"/>
        </w:rPr>
        <w:t xml:space="preserve">Similarly, </w:t>
      </w:r>
      <w:r w:rsidRPr="00E10A86">
        <w:rPr>
          <w:rFonts w:ascii="Arial" w:hAnsi="Arial" w:cs="Arial"/>
        </w:rPr>
        <w:lastRenderedPageBreak/>
        <w:t>when a CAO is out of the office on extended leave, a CAO proxy can be assigned so that another CAO can approve verified charges for their respective cardholder(s).</w:t>
      </w:r>
    </w:p>
    <w:p w:rsidR="009C67C6" w:rsidRDefault="00E10A86" w:rsidP="00C0583B">
      <w:pPr>
        <w:pStyle w:val="Default"/>
        <w:spacing w:after="120"/>
        <w:rPr>
          <w:rFonts w:ascii="Arial" w:hAnsi="Arial" w:cs="Arial"/>
        </w:rPr>
      </w:pPr>
      <w:r w:rsidRPr="00E10A86">
        <w:rPr>
          <w:rFonts w:ascii="Arial" w:hAnsi="Arial" w:cs="Arial"/>
        </w:rPr>
        <w:t>The IC Coordinator must request that a cardholder or CAO proxy be assigned to reconcile the account. Purchase card accounts that were closed with the bank and have trailing charges that require review or approval after the Cardholder or CAO has departed NIH, will also require a proxy to reconcile the account.</w:t>
      </w:r>
    </w:p>
    <w:p w:rsidR="00E10A86" w:rsidRPr="00C0583B" w:rsidRDefault="00E10A86" w:rsidP="00C0583B">
      <w:pPr>
        <w:pStyle w:val="Default"/>
        <w:spacing w:after="120"/>
        <w:rPr>
          <w:rFonts w:ascii="Arial" w:hAnsi="Arial" w:cs="Arial"/>
          <w:b/>
          <w:bCs/>
        </w:rPr>
      </w:pPr>
      <w:r w:rsidRPr="00E10A86">
        <w:rPr>
          <w:rFonts w:ascii="Arial" w:hAnsi="Arial" w:cs="Arial"/>
          <w:b/>
          <w:bCs/>
        </w:rPr>
        <w:t>CH/CAO Proxy Reminders:</w:t>
      </w:r>
    </w:p>
    <w:p w:rsidR="00E10A86" w:rsidRPr="00E10A86" w:rsidRDefault="00E10A86" w:rsidP="00C0583B">
      <w:pPr>
        <w:pStyle w:val="Default"/>
        <w:numPr>
          <w:ilvl w:val="0"/>
          <w:numId w:val="30"/>
        </w:numPr>
        <w:spacing w:after="120"/>
        <w:rPr>
          <w:rFonts w:ascii="Arial" w:hAnsi="Arial" w:cs="Arial"/>
        </w:rPr>
      </w:pPr>
      <w:r w:rsidRPr="00E10A86">
        <w:rPr>
          <w:rFonts w:ascii="Arial" w:hAnsi="Arial" w:cs="Arial"/>
        </w:rPr>
        <w:t xml:space="preserve">A proxy request should be submitted via email from the IC Purchase Card Coordinator to the </w:t>
      </w:r>
      <w:hyperlink r:id="rId14" w:tooltip="NIH Purchase Card Helpdesk" w:history="1">
        <w:r w:rsidRPr="00CB0566">
          <w:rPr>
            <w:rStyle w:val="Hyperlink"/>
            <w:rFonts w:ascii="Arial" w:hAnsi="Arial" w:cs="Arial"/>
          </w:rPr>
          <w:t>NIH Purchase Card Helpdesk</w:t>
        </w:r>
      </w:hyperlink>
      <w:r w:rsidRPr="00E10A86">
        <w:rPr>
          <w:rFonts w:ascii="Arial" w:hAnsi="Arial" w:cs="Arial"/>
        </w:rPr>
        <w:t xml:space="preserve">. The NIH Purchase Card Change Request form that is required for proxy requests is available on the </w:t>
      </w:r>
      <w:hyperlink r:id="rId15" w:tooltip="Purchase Card Website" w:history="1">
        <w:r w:rsidRPr="00CB0566">
          <w:rPr>
            <w:rStyle w:val="Hyperlink"/>
            <w:rFonts w:ascii="Arial" w:hAnsi="Arial" w:cs="Arial"/>
          </w:rPr>
          <w:t>Purchase Card Website</w:t>
        </w:r>
      </w:hyperlink>
      <w:r w:rsidRPr="00E10A86">
        <w:rPr>
          <w:rFonts w:ascii="Arial" w:hAnsi="Arial" w:cs="Arial"/>
        </w:rPr>
        <w:t>.</w:t>
      </w:r>
    </w:p>
    <w:p w:rsidR="00E10A86" w:rsidRPr="00E10A86" w:rsidRDefault="00E10A86" w:rsidP="00C0583B">
      <w:pPr>
        <w:pStyle w:val="Default"/>
        <w:numPr>
          <w:ilvl w:val="0"/>
          <w:numId w:val="29"/>
        </w:numPr>
        <w:spacing w:after="120"/>
        <w:rPr>
          <w:rFonts w:ascii="Arial" w:hAnsi="Arial" w:cs="Arial"/>
        </w:rPr>
      </w:pPr>
      <w:r w:rsidRPr="00E10A86">
        <w:rPr>
          <w:rFonts w:ascii="Arial" w:hAnsi="Arial" w:cs="Arial"/>
        </w:rPr>
        <w:t xml:space="preserve">The proxy should be an equivalent or higher-grade level and have the same acquisition authority as the cardholder. </w:t>
      </w:r>
    </w:p>
    <w:p w:rsidR="00E10A86" w:rsidRPr="00E10A86" w:rsidRDefault="00E10A86" w:rsidP="00C0583B">
      <w:pPr>
        <w:pStyle w:val="Default"/>
        <w:numPr>
          <w:ilvl w:val="0"/>
          <w:numId w:val="29"/>
        </w:numPr>
        <w:spacing w:after="120"/>
        <w:rPr>
          <w:rFonts w:ascii="Arial" w:hAnsi="Arial" w:cs="Arial"/>
        </w:rPr>
      </w:pPr>
      <w:r w:rsidRPr="00E10A86">
        <w:rPr>
          <w:rFonts w:ascii="Arial" w:hAnsi="Arial" w:cs="Arial"/>
        </w:rPr>
        <w:t xml:space="preserve">The cardholder assuming the role of proxy may be suspended if they fail to reconcile on behalf of the original cardholder or CAO by the required deadline. </w:t>
      </w:r>
    </w:p>
    <w:p w:rsidR="00E10A86" w:rsidRPr="00E10A86" w:rsidRDefault="00E10A86" w:rsidP="00C0583B">
      <w:pPr>
        <w:pStyle w:val="ListParagraph"/>
        <w:numPr>
          <w:ilvl w:val="0"/>
          <w:numId w:val="29"/>
        </w:numPr>
        <w:spacing w:after="120"/>
        <w:contextualSpacing w:val="0"/>
        <w:rPr>
          <w:rFonts w:cs="Arial"/>
        </w:rPr>
      </w:pPr>
      <w:r w:rsidRPr="00E10A86">
        <w:rPr>
          <w:rFonts w:cs="Arial"/>
        </w:rPr>
        <w:t xml:space="preserve">The account of a cardholder on extended leave may be temporarily suspended to minimize the risk of fraud. </w:t>
      </w:r>
    </w:p>
    <w:p w:rsidR="00E10A86" w:rsidRPr="00E10A86" w:rsidRDefault="00E10A86" w:rsidP="00C0583B">
      <w:pPr>
        <w:pStyle w:val="ListParagraph"/>
        <w:numPr>
          <w:ilvl w:val="0"/>
          <w:numId w:val="29"/>
        </w:numPr>
        <w:spacing w:after="120"/>
        <w:contextualSpacing w:val="0"/>
        <w:rPr>
          <w:rFonts w:cs="Arial"/>
        </w:rPr>
      </w:pPr>
      <w:r w:rsidRPr="00E10A86">
        <w:rPr>
          <w:rFonts w:cs="Arial"/>
        </w:rPr>
        <w:t xml:space="preserve">The IC Purchase Card Coordinator must notify the NIH Purchase Card Help Desk when the proxy is no longer needed. </w:t>
      </w:r>
    </w:p>
    <w:p w:rsidR="00E10A86" w:rsidRPr="00E10A86" w:rsidRDefault="00E10A86" w:rsidP="00C0583B">
      <w:pPr>
        <w:pStyle w:val="ListParagraph"/>
        <w:numPr>
          <w:ilvl w:val="0"/>
          <w:numId w:val="31"/>
        </w:numPr>
        <w:autoSpaceDE w:val="0"/>
        <w:autoSpaceDN w:val="0"/>
        <w:adjustRightInd w:val="0"/>
        <w:spacing w:after="120"/>
        <w:contextualSpacing w:val="0"/>
        <w:rPr>
          <w:rFonts w:cs="Arial"/>
          <w:bCs/>
        </w:rPr>
      </w:pPr>
      <w:r w:rsidRPr="00E10A86">
        <w:rPr>
          <w:rFonts w:cs="Arial"/>
        </w:rPr>
        <w:t xml:space="preserve">In NBS, PCard User and/or Approver roles that </w:t>
      </w:r>
      <w:r w:rsidR="005A5439">
        <w:rPr>
          <w:rFonts w:cs="Arial"/>
        </w:rPr>
        <w:t>are not accessed within 60 days</w:t>
      </w:r>
      <w:r w:rsidRPr="00E10A86">
        <w:rPr>
          <w:rFonts w:cs="Arial"/>
        </w:rPr>
        <w:t xml:space="preserve"> may be automatically deactivated. Because of this, cardholders and CAOs that have been out of the office on extended leave should check with NBS to ensure that their roles are still in place upon their return to the office. If the event that their roles are deactivated, they must work with their IC Coordinator to submit the </w:t>
      </w:r>
      <w:hyperlink r:id="rId16" w:tooltip="NBS PCard User/Approver form" w:history="1">
        <w:r w:rsidR="00CF797E" w:rsidRPr="00CB0566">
          <w:rPr>
            <w:rStyle w:val="Hyperlink"/>
          </w:rPr>
          <w:t xml:space="preserve">NBS </w:t>
        </w:r>
        <w:proofErr w:type="spellStart"/>
        <w:r w:rsidR="00CF797E" w:rsidRPr="00CB0566">
          <w:rPr>
            <w:rStyle w:val="Hyperlink"/>
          </w:rPr>
          <w:t>PCard</w:t>
        </w:r>
        <w:proofErr w:type="spellEnd"/>
        <w:r w:rsidR="00CF797E" w:rsidRPr="00CB0566">
          <w:rPr>
            <w:rStyle w:val="Hyperlink"/>
          </w:rPr>
          <w:t xml:space="preserve"> User/Approver form</w:t>
        </w:r>
      </w:hyperlink>
      <w:r w:rsidRPr="00E10A86">
        <w:rPr>
          <w:rFonts w:cs="Arial"/>
        </w:rPr>
        <w:t xml:space="preserve"> to the NIH </w:t>
      </w:r>
      <w:hyperlink r:id="rId17" w:tooltip="creditcard@OD.NIH.GOV" w:history="1">
        <w:r w:rsidRPr="00CB0566">
          <w:rPr>
            <w:rStyle w:val="Hyperlink"/>
          </w:rPr>
          <w:t>Purchase Card Helpdesk</w:t>
        </w:r>
      </w:hyperlink>
      <w:r w:rsidRPr="00E10A86">
        <w:rPr>
          <w:rFonts w:cs="Arial"/>
        </w:rPr>
        <w:t>.</w:t>
      </w:r>
    </w:p>
    <w:p w:rsidR="00E10A86" w:rsidRPr="00E10A86" w:rsidRDefault="00F43FDC" w:rsidP="00C0583B">
      <w:pPr>
        <w:pStyle w:val="ListParagraph"/>
        <w:numPr>
          <w:ilvl w:val="0"/>
          <w:numId w:val="31"/>
        </w:numPr>
        <w:autoSpaceDE w:val="0"/>
        <w:autoSpaceDN w:val="0"/>
        <w:adjustRightInd w:val="0"/>
        <w:spacing w:after="120"/>
        <w:contextualSpacing w:val="0"/>
        <w:rPr>
          <w:rFonts w:cs="Arial"/>
          <w:color w:val="000000"/>
        </w:rPr>
      </w:pPr>
      <w:r>
        <w:rPr>
          <w:rFonts w:cs="Arial"/>
        </w:rPr>
        <w:t xml:space="preserve">Individuals who </w:t>
      </w:r>
      <w:r w:rsidR="00E10A86" w:rsidRPr="00E10A86">
        <w:rPr>
          <w:rFonts w:cs="Arial"/>
        </w:rPr>
        <w:t xml:space="preserve">have their NBS </w:t>
      </w:r>
      <w:proofErr w:type="spellStart"/>
      <w:r w:rsidR="00E10A86" w:rsidRPr="00E10A86">
        <w:rPr>
          <w:rFonts w:cs="Arial"/>
        </w:rPr>
        <w:t>P</w:t>
      </w:r>
      <w:r w:rsidR="00CF797E">
        <w:rPr>
          <w:rFonts w:cs="Arial"/>
        </w:rPr>
        <w:t>Card</w:t>
      </w:r>
      <w:proofErr w:type="spellEnd"/>
      <w:r w:rsidR="00E10A86" w:rsidRPr="00E10A86">
        <w:rPr>
          <w:rFonts w:cs="Arial"/>
        </w:rPr>
        <w:t xml:space="preserve"> User/Approval roles temporarily removed, may also then be removed from the NBS email distribution lists. Since our office relies on these lists, it is important that your cardholders and CAOs maintain access to avoid not receiving related NBS or purchase card communications should one go out during the time that their role was deactivated by NBS. </w:t>
      </w:r>
    </w:p>
    <w:p w:rsidR="0009579A" w:rsidRPr="00F43FDC" w:rsidRDefault="00E10A86" w:rsidP="00C0583B">
      <w:pPr>
        <w:spacing w:line="240" w:lineRule="auto"/>
        <w:rPr>
          <w:rFonts w:cs="Arial"/>
          <w:color w:val="000000"/>
          <w:szCs w:val="24"/>
        </w:rPr>
      </w:pPr>
      <w:r w:rsidRPr="00E10A86">
        <w:rPr>
          <w:rFonts w:cs="Arial"/>
          <w:color w:val="000000"/>
          <w:szCs w:val="24"/>
        </w:rPr>
        <w:t xml:space="preserve">If you have any questions about cardholder or CAO proxies, please contact the </w:t>
      </w:r>
      <w:hyperlink r:id="rId18" w:tooltip="Purchase Card Helpdesk" w:history="1">
        <w:r w:rsidRPr="00CB0566">
          <w:rPr>
            <w:rStyle w:val="Hyperlink"/>
          </w:rPr>
          <w:t>Purchase Card Helpdesk</w:t>
        </w:r>
      </w:hyperlink>
      <w:r w:rsidRPr="00E10A86">
        <w:rPr>
          <w:rFonts w:cs="Arial"/>
          <w:szCs w:val="24"/>
        </w:rPr>
        <w:t xml:space="preserve"> or </w:t>
      </w:r>
      <w:r w:rsidRPr="00E10A86">
        <w:rPr>
          <w:rFonts w:cs="Arial"/>
          <w:color w:val="000000"/>
          <w:szCs w:val="24"/>
        </w:rPr>
        <w:t>Purchase Card Helpline at 301-435-6606.</w:t>
      </w:r>
    </w:p>
    <w:p w:rsidR="00964D79" w:rsidRPr="00E10A86" w:rsidRDefault="00964D79" w:rsidP="00C0583B">
      <w:pPr>
        <w:pStyle w:val="Heading1"/>
        <w:spacing w:before="0" w:line="240" w:lineRule="auto"/>
        <w:rPr>
          <w:rFonts w:eastAsia="Times New Roman" w:cs="Arial"/>
          <w:sz w:val="24"/>
          <w:szCs w:val="24"/>
          <w:lang w:val="en"/>
        </w:rPr>
      </w:pPr>
    </w:p>
    <w:p w:rsidR="00C62436" w:rsidRDefault="00C62436" w:rsidP="00C0583B">
      <w:pPr>
        <w:pStyle w:val="Heading1"/>
        <w:spacing w:before="0" w:after="120" w:line="240" w:lineRule="auto"/>
      </w:pPr>
      <w:r>
        <w:t>OLAO is on YouTube!</w:t>
      </w:r>
    </w:p>
    <w:p w:rsidR="00C62436" w:rsidRPr="00C0583B" w:rsidRDefault="00C62436" w:rsidP="00C0583B">
      <w:pPr>
        <w:spacing w:after="120" w:line="240" w:lineRule="auto"/>
        <w:rPr>
          <w:rFonts w:ascii="Calibri" w:hAnsi="Calibri" w:cs="Times New Roman"/>
          <w:sz w:val="22"/>
        </w:rPr>
      </w:pPr>
      <w:r>
        <w:t xml:space="preserve">You can now check out the Office of Logistics and Acquisition Operations (OLAO) Contracts on YouTube on the </w:t>
      </w:r>
      <w:hyperlink r:id="rId19" w:tooltip="@OLAOContracts  YouTube webpage" w:history="1">
        <w:r>
          <w:rPr>
            <w:rStyle w:val="Hyperlink"/>
          </w:rPr>
          <w:t>@</w:t>
        </w:r>
        <w:proofErr w:type="spellStart"/>
        <w:r>
          <w:rPr>
            <w:rStyle w:val="Hyperlink"/>
          </w:rPr>
          <w:t>OLAOContracts</w:t>
        </w:r>
        <w:proofErr w:type="spellEnd"/>
      </w:hyperlink>
      <w:r>
        <w:t xml:space="preserve"> page. Find information about the following NIH-wide contracts:</w:t>
      </w:r>
    </w:p>
    <w:p w:rsidR="00C62436" w:rsidRDefault="00C62436" w:rsidP="00C0583B">
      <w:pPr>
        <w:spacing w:line="240" w:lineRule="auto"/>
        <w:rPr>
          <w:color w:val="000000"/>
        </w:rPr>
      </w:pPr>
      <w:r>
        <w:rPr>
          <w:color w:val="000000"/>
        </w:rPr>
        <w:t>The NIH Conference and Travel Support Contract (</w:t>
      </w:r>
      <w:hyperlink r:id="rId20" w:tooltip="NIH Conference and Travel Support Contract webpage" w:history="1">
        <w:r>
          <w:rPr>
            <w:rStyle w:val="Hyperlink"/>
            <w:color w:val="000000"/>
          </w:rPr>
          <w:t>NIHCATS</w:t>
        </w:r>
      </w:hyperlink>
      <w:r>
        <w:rPr>
          <w:color w:val="000000"/>
        </w:rPr>
        <w:t>) vehicle provides customers with conference and travel support. NIHCATS is an HHS-wide strategic source.</w:t>
      </w:r>
    </w:p>
    <w:p w:rsidR="00C62436" w:rsidRDefault="00C62436" w:rsidP="00C0583B">
      <w:pPr>
        <w:spacing w:line="240" w:lineRule="auto"/>
        <w:rPr>
          <w:color w:val="000000"/>
        </w:rPr>
      </w:pPr>
    </w:p>
    <w:p w:rsidR="00C62436" w:rsidRDefault="00C62436" w:rsidP="00C0583B">
      <w:pPr>
        <w:spacing w:after="120" w:line="240" w:lineRule="auto"/>
        <w:rPr>
          <w:color w:val="000000"/>
        </w:rPr>
      </w:pPr>
      <w:r>
        <w:rPr>
          <w:color w:val="000000"/>
        </w:rPr>
        <w:t>The Public Information Communication Services Contract (</w:t>
      </w:r>
      <w:hyperlink r:id="rId21" w:tooltip="Public Information Communication Services Contract webpage" w:history="1">
        <w:r>
          <w:rPr>
            <w:rStyle w:val="Hyperlink"/>
            <w:color w:val="000000"/>
          </w:rPr>
          <w:t>PICS</w:t>
        </w:r>
      </w:hyperlink>
      <w:r>
        <w:rPr>
          <w:color w:val="000000"/>
        </w:rPr>
        <w:t>) vehicle provides the NIH with communication goods and outreach support.</w:t>
      </w:r>
      <w:r>
        <w:rPr>
          <w:rFonts w:ascii="Georgia" w:hAnsi="Georgia"/>
          <w:color w:val="7F7F7F"/>
          <w:sz w:val="26"/>
          <w:szCs w:val="26"/>
        </w:rPr>
        <w:t xml:space="preserve"> </w:t>
      </w:r>
      <w:r>
        <w:rPr>
          <w:color w:val="000000"/>
        </w:rPr>
        <w:t>PICS provides high quality performance in the areas of media, communication, information dissemination, and information technology to all of NIH.</w:t>
      </w:r>
    </w:p>
    <w:p w:rsidR="00C62436" w:rsidRDefault="00C62436" w:rsidP="00C0583B">
      <w:pPr>
        <w:spacing w:after="120" w:line="240" w:lineRule="auto"/>
        <w:rPr>
          <w:color w:val="000000"/>
        </w:rPr>
      </w:pPr>
      <w:r>
        <w:rPr>
          <w:color w:val="000000"/>
        </w:rPr>
        <w:lastRenderedPageBreak/>
        <w:t>The Long Term Administrative Support Contract (</w:t>
      </w:r>
      <w:hyperlink r:id="rId22" w:tooltip="Long Term Administrative Support Contract webpage" w:history="1">
        <w:r>
          <w:rPr>
            <w:rStyle w:val="Hyperlink"/>
            <w:color w:val="000000"/>
          </w:rPr>
          <w:t>LTASCII</w:t>
        </w:r>
      </w:hyperlink>
      <w:r>
        <w:rPr>
          <w:color w:val="000000"/>
        </w:rPr>
        <w:t>) vehicle provides the NIH long term administrative services ranging from Clerk positions to Executive Assistants. LTASC II is the only means to procure long-term administrative support within NIH.</w:t>
      </w:r>
    </w:p>
    <w:p w:rsidR="00C62436" w:rsidRDefault="00C62436" w:rsidP="00C0583B">
      <w:pPr>
        <w:spacing w:line="240" w:lineRule="auto"/>
        <w:rPr>
          <w:color w:val="000000"/>
        </w:rPr>
      </w:pPr>
      <w:r>
        <w:rPr>
          <w:color w:val="000000"/>
        </w:rPr>
        <w:t>The NIH Business Professional Support Services Contract (</w:t>
      </w:r>
      <w:hyperlink r:id="rId23" w:tooltip="NIH Business Professional Support Services Contract webpage" w:history="1">
        <w:r>
          <w:rPr>
            <w:rStyle w:val="Hyperlink"/>
            <w:color w:val="000000"/>
          </w:rPr>
          <w:t>NIHBPSS</w:t>
        </w:r>
      </w:hyperlink>
      <w:r>
        <w:rPr>
          <w:color w:val="000000"/>
        </w:rPr>
        <w:t>) provides customers with a variety of professional support services.</w:t>
      </w:r>
    </w:p>
    <w:p w:rsidR="00CB4A00" w:rsidRDefault="00CB4A00" w:rsidP="00C0583B">
      <w:pPr>
        <w:shd w:val="clear" w:color="auto" w:fill="FFFFFF"/>
        <w:spacing w:line="240" w:lineRule="auto"/>
        <w:rPr>
          <w:rFonts w:cs="Arial"/>
          <w:szCs w:val="24"/>
          <w:lang w:val="en"/>
        </w:rPr>
      </w:pPr>
    </w:p>
    <w:p w:rsidR="00B7565F" w:rsidRPr="00B7565F" w:rsidRDefault="00C801C6" w:rsidP="00C0583B">
      <w:pPr>
        <w:pStyle w:val="Heading1"/>
        <w:spacing w:before="0" w:after="120" w:line="240" w:lineRule="auto"/>
      </w:pPr>
      <w:r>
        <w:t>Recap Corner</w:t>
      </w:r>
    </w:p>
    <w:p w:rsidR="00AF1B9C" w:rsidRDefault="00AF1B9C" w:rsidP="00C0583B">
      <w:pPr>
        <w:autoSpaceDE w:val="0"/>
        <w:autoSpaceDN w:val="0"/>
        <w:adjustRightInd w:val="0"/>
        <w:spacing w:line="240" w:lineRule="auto"/>
        <w:rPr>
          <w:rFonts w:cs="Arial"/>
          <w:color w:val="1A1A1A"/>
          <w:szCs w:val="24"/>
        </w:rPr>
      </w:pPr>
      <w:r>
        <w:rPr>
          <w:rFonts w:cs="Arial"/>
          <w:color w:val="1A1A1A"/>
          <w:szCs w:val="24"/>
        </w:rPr>
        <w:t xml:space="preserve">Below is a recap of recent </w:t>
      </w:r>
      <w:r w:rsidR="00222AC9">
        <w:rPr>
          <w:rFonts w:cs="Arial"/>
          <w:color w:val="1A1A1A"/>
          <w:szCs w:val="24"/>
        </w:rPr>
        <w:t xml:space="preserve">OALM </w:t>
      </w:r>
      <w:r>
        <w:rPr>
          <w:rFonts w:cs="Arial"/>
          <w:color w:val="1A1A1A"/>
          <w:szCs w:val="24"/>
        </w:rPr>
        <w:t>communications</w:t>
      </w:r>
      <w:r w:rsidR="00222AC9">
        <w:rPr>
          <w:rFonts w:cs="Arial"/>
          <w:color w:val="1A1A1A"/>
          <w:szCs w:val="24"/>
        </w:rPr>
        <w:t xml:space="preserve"> to the NIH acquisition workforce</w:t>
      </w:r>
      <w:r>
        <w:rPr>
          <w:rFonts w:cs="Arial"/>
          <w:color w:val="1A1A1A"/>
          <w:szCs w:val="24"/>
        </w:rPr>
        <w:t>.</w:t>
      </w:r>
    </w:p>
    <w:p w:rsidR="00AF1B9C" w:rsidRDefault="00AF1B9C" w:rsidP="00C0583B">
      <w:pPr>
        <w:autoSpaceDE w:val="0"/>
        <w:autoSpaceDN w:val="0"/>
        <w:adjustRightInd w:val="0"/>
        <w:spacing w:line="240" w:lineRule="auto"/>
        <w:rPr>
          <w:rFonts w:cs="Arial"/>
          <w:color w:val="1A1A1A"/>
          <w:szCs w:val="24"/>
        </w:rPr>
      </w:pPr>
    </w:p>
    <w:tbl>
      <w:tblPr>
        <w:tblStyle w:val="GridTable1Light"/>
        <w:tblW w:w="0" w:type="auto"/>
        <w:tblBorders>
          <w:insideH w:val="single" w:sz="6" w:space="0" w:color="999999" w:themeColor="text1" w:themeTint="66"/>
          <w:insideV w:val="single" w:sz="6" w:space="0" w:color="999999" w:themeColor="text1" w:themeTint="66"/>
        </w:tblBorders>
        <w:tblLook w:val="0620" w:firstRow="1" w:lastRow="0" w:firstColumn="0" w:lastColumn="0" w:noHBand="1" w:noVBand="1"/>
        <w:tblCaption w:val="OALM Communications Log"/>
        <w:tblDescription w:val="Provides a list of OALM Communications issued from January 1 - March 9, 2018. The list provides the ID, Date, Title and Purpose of the Communication."/>
      </w:tblPr>
      <w:tblGrid>
        <w:gridCol w:w="883"/>
        <w:gridCol w:w="1151"/>
        <w:gridCol w:w="3811"/>
        <w:gridCol w:w="4945"/>
      </w:tblGrid>
      <w:tr w:rsidR="00202191" w:rsidTr="00222AC9">
        <w:trPr>
          <w:cnfStyle w:val="100000000000" w:firstRow="1" w:lastRow="0" w:firstColumn="0" w:lastColumn="0" w:oddVBand="0" w:evenVBand="0" w:oddHBand="0" w:evenHBand="0" w:firstRowFirstColumn="0" w:firstRowLastColumn="0" w:lastRowFirstColumn="0" w:lastRowLastColumn="0"/>
          <w:tblHeader/>
        </w:trPr>
        <w:tc>
          <w:tcPr>
            <w:tcW w:w="883" w:type="dxa"/>
            <w:tcBorders>
              <w:bottom w:val="none" w:sz="0" w:space="0" w:color="auto"/>
            </w:tcBorders>
          </w:tcPr>
          <w:p w:rsidR="00EB58E3" w:rsidRDefault="00EB58E3" w:rsidP="00C0583B">
            <w:pPr>
              <w:autoSpaceDE w:val="0"/>
              <w:autoSpaceDN w:val="0"/>
              <w:adjustRightInd w:val="0"/>
              <w:jc w:val="center"/>
              <w:rPr>
                <w:rFonts w:cs="Arial"/>
                <w:color w:val="1A1A1A"/>
                <w:szCs w:val="24"/>
              </w:rPr>
            </w:pPr>
            <w:r>
              <w:rPr>
                <w:rFonts w:cs="Arial"/>
                <w:color w:val="1A1A1A"/>
                <w:szCs w:val="24"/>
              </w:rPr>
              <w:t>ID</w:t>
            </w:r>
          </w:p>
        </w:tc>
        <w:tc>
          <w:tcPr>
            <w:tcW w:w="1151" w:type="dxa"/>
            <w:tcBorders>
              <w:bottom w:val="none" w:sz="0" w:space="0" w:color="auto"/>
            </w:tcBorders>
          </w:tcPr>
          <w:p w:rsidR="00EB58E3" w:rsidRDefault="00EB58E3" w:rsidP="00C0583B">
            <w:pPr>
              <w:autoSpaceDE w:val="0"/>
              <w:autoSpaceDN w:val="0"/>
              <w:adjustRightInd w:val="0"/>
              <w:jc w:val="center"/>
              <w:rPr>
                <w:rFonts w:cs="Arial"/>
                <w:color w:val="1A1A1A"/>
                <w:szCs w:val="24"/>
              </w:rPr>
            </w:pPr>
            <w:r>
              <w:rPr>
                <w:rFonts w:cs="Arial"/>
                <w:color w:val="1A1A1A"/>
                <w:szCs w:val="24"/>
              </w:rPr>
              <w:t>Date</w:t>
            </w:r>
          </w:p>
        </w:tc>
        <w:tc>
          <w:tcPr>
            <w:tcW w:w="3811" w:type="dxa"/>
            <w:tcBorders>
              <w:bottom w:val="none" w:sz="0" w:space="0" w:color="auto"/>
            </w:tcBorders>
          </w:tcPr>
          <w:p w:rsidR="00EB58E3" w:rsidRDefault="00EB58E3" w:rsidP="00C0583B">
            <w:pPr>
              <w:autoSpaceDE w:val="0"/>
              <w:autoSpaceDN w:val="0"/>
              <w:adjustRightInd w:val="0"/>
              <w:jc w:val="center"/>
              <w:rPr>
                <w:rFonts w:cs="Arial"/>
                <w:color w:val="1A1A1A"/>
                <w:szCs w:val="24"/>
              </w:rPr>
            </w:pPr>
            <w:r>
              <w:rPr>
                <w:rFonts w:cs="Arial"/>
                <w:color w:val="1A1A1A"/>
                <w:szCs w:val="24"/>
              </w:rPr>
              <w:t>Title</w:t>
            </w:r>
          </w:p>
        </w:tc>
        <w:tc>
          <w:tcPr>
            <w:tcW w:w="4945" w:type="dxa"/>
            <w:tcBorders>
              <w:bottom w:val="none" w:sz="0" w:space="0" w:color="auto"/>
            </w:tcBorders>
          </w:tcPr>
          <w:p w:rsidR="00EB58E3" w:rsidRDefault="00EB58E3" w:rsidP="00C0583B">
            <w:pPr>
              <w:autoSpaceDE w:val="0"/>
              <w:autoSpaceDN w:val="0"/>
              <w:adjustRightInd w:val="0"/>
              <w:jc w:val="center"/>
              <w:rPr>
                <w:rFonts w:cs="Arial"/>
                <w:color w:val="1A1A1A"/>
                <w:szCs w:val="24"/>
              </w:rPr>
            </w:pPr>
            <w:r>
              <w:rPr>
                <w:rFonts w:cs="Arial"/>
                <w:color w:val="1A1A1A"/>
                <w:szCs w:val="24"/>
              </w:rPr>
              <w:t>Purpose</w:t>
            </w:r>
          </w:p>
        </w:tc>
      </w:tr>
      <w:tr w:rsidR="00202191" w:rsidTr="00222AC9">
        <w:tc>
          <w:tcPr>
            <w:tcW w:w="883" w:type="dxa"/>
          </w:tcPr>
          <w:p w:rsidR="00EB58E3" w:rsidRDefault="00EB58E3" w:rsidP="00C0583B">
            <w:pPr>
              <w:autoSpaceDE w:val="0"/>
              <w:autoSpaceDN w:val="0"/>
              <w:adjustRightInd w:val="0"/>
              <w:rPr>
                <w:rFonts w:cs="Arial"/>
                <w:color w:val="1A1A1A"/>
                <w:szCs w:val="24"/>
              </w:rPr>
            </w:pPr>
            <w:r>
              <w:rPr>
                <w:rFonts w:cs="Arial"/>
                <w:color w:val="1A1A1A"/>
                <w:szCs w:val="24"/>
              </w:rPr>
              <w:t>18-01</w:t>
            </w:r>
          </w:p>
        </w:tc>
        <w:tc>
          <w:tcPr>
            <w:tcW w:w="1151" w:type="dxa"/>
          </w:tcPr>
          <w:p w:rsidR="00EB58E3" w:rsidRDefault="005A1A72" w:rsidP="00C0583B">
            <w:pPr>
              <w:autoSpaceDE w:val="0"/>
              <w:autoSpaceDN w:val="0"/>
              <w:adjustRightInd w:val="0"/>
              <w:rPr>
                <w:color w:val="000000"/>
              </w:rPr>
            </w:pPr>
            <w:r>
              <w:rPr>
                <w:color w:val="000000"/>
              </w:rPr>
              <w:t>10/6/17</w:t>
            </w:r>
          </w:p>
        </w:tc>
        <w:tc>
          <w:tcPr>
            <w:tcW w:w="3811" w:type="dxa"/>
          </w:tcPr>
          <w:p w:rsidR="00EB58E3" w:rsidRDefault="00EB58E3" w:rsidP="00C0583B">
            <w:pPr>
              <w:autoSpaceDE w:val="0"/>
              <w:autoSpaceDN w:val="0"/>
              <w:adjustRightInd w:val="0"/>
              <w:rPr>
                <w:rFonts w:cs="Arial"/>
                <w:color w:val="1A1A1A"/>
                <w:szCs w:val="24"/>
              </w:rPr>
            </w:pPr>
            <w:r>
              <w:rPr>
                <w:color w:val="000000"/>
              </w:rPr>
              <w:t>ACTION REQUIRED/DUE FedDataCheck32 - DCIS Item 10H Commercial Item Acquisition Procedures</w:t>
            </w:r>
          </w:p>
        </w:tc>
        <w:tc>
          <w:tcPr>
            <w:tcW w:w="4945" w:type="dxa"/>
          </w:tcPr>
          <w:p w:rsidR="00EB58E3" w:rsidRDefault="005A1A72" w:rsidP="00C0583B">
            <w:pPr>
              <w:autoSpaceDE w:val="0"/>
              <w:autoSpaceDN w:val="0"/>
              <w:adjustRightInd w:val="0"/>
              <w:rPr>
                <w:rFonts w:cs="Arial"/>
                <w:color w:val="1A1A1A"/>
                <w:szCs w:val="24"/>
              </w:rPr>
            </w:pPr>
            <w:r>
              <w:rPr>
                <w:rFonts w:cs="Arial"/>
                <w:color w:val="1A1A1A"/>
                <w:szCs w:val="24"/>
              </w:rPr>
              <w:t xml:space="preserve">Attached spreadsheet indicated action required related to </w:t>
            </w:r>
            <w:r w:rsidR="005B6EA7">
              <w:rPr>
                <w:rFonts w:cs="Arial"/>
                <w:color w:val="1A1A1A"/>
                <w:szCs w:val="24"/>
              </w:rPr>
              <w:t xml:space="preserve">the </w:t>
            </w:r>
            <w:r>
              <w:rPr>
                <w:rFonts w:cs="Arial"/>
                <w:color w:val="1A1A1A"/>
                <w:szCs w:val="24"/>
              </w:rPr>
              <w:t>coding of DCIS Item 10H.</w:t>
            </w:r>
          </w:p>
        </w:tc>
      </w:tr>
      <w:tr w:rsidR="00202191" w:rsidTr="00222AC9">
        <w:tc>
          <w:tcPr>
            <w:tcW w:w="883" w:type="dxa"/>
          </w:tcPr>
          <w:p w:rsidR="00EB58E3" w:rsidRDefault="00EB58E3" w:rsidP="00C0583B">
            <w:pPr>
              <w:autoSpaceDE w:val="0"/>
              <w:autoSpaceDN w:val="0"/>
              <w:adjustRightInd w:val="0"/>
              <w:rPr>
                <w:rFonts w:cs="Arial"/>
                <w:color w:val="1A1A1A"/>
                <w:szCs w:val="24"/>
              </w:rPr>
            </w:pPr>
            <w:r>
              <w:rPr>
                <w:rFonts w:cs="Arial"/>
                <w:color w:val="1A1A1A"/>
                <w:szCs w:val="24"/>
              </w:rPr>
              <w:t>18-02</w:t>
            </w:r>
          </w:p>
        </w:tc>
        <w:tc>
          <w:tcPr>
            <w:tcW w:w="1151" w:type="dxa"/>
          </w:tcPr>
          <w:p w:rsidR="00EB58E3" w:rsidRDefault="00BD6E61" w:rsidP="00C0583B">
            <w:pPr>
              <w:autoSpaceDE w:val="0"/>
              <w:autoSpaceDN w:val="0"/>
              <w:adjustRightInd w:val="0"/>
              <w:rPr>
                <w:color w:val="000000"/>
              </w:rPr>
            </w:pPr>
            <w:r>
              <w:rPr>
                <w:color w:val="000000"/>
              </w:rPr>
              <w:t>10/12/17</w:t>
            </w:r>
          </w:p>
        </w:tc>
        <w:tc>
          <w:tcPr>
            <w:tcW w:w="3811" w:type="dxa"/>
          </w:tcPr>
          <w:p w:rsidR="00EB58E3" w:rsidRDefault="00EB58E3" w:rsidP="00C0583B">
            <w:pPr>
              <w:autoSpaceDE w:val="0"/>
              <w:autoSpaceDN w:val="0"/>
              <w:adjustRightInd w:val="0"/>
              <w:rPr>
                <w:rFonts w:cs="Arial"/>
                <w:color w:val="1A1A1A"/>
                <w:szCs w:val="24"/>
              </w:rPr>
            </w:pPr>
            <w:r>
              <w:rPr>
                <w:color w:val="000000"/>
              </w:rPr>
              <w:t>FY17 NIH Annual Independent Verification and Validation Review (IV&amp;V)</w:t>
            </w:r>
          </w:p>
        </w:tc>
        <w:tc>
          <w:tcPr>
            <w:tcW w:w="4945" w:type="dxa"/>
          </w:tcPr>
          <w:p w:rsidR="00EB58E3" w:rsidRDefault="00347ABA" w:rsidP="00C0583B">
            <w:pPr>
              <w:autoSpaceDE w:val="0"/>
              <w:autoSpaceDN w:val="0"/>
              <w:adjustRightInd w:val="0"/>
              <w:rPr>
                <w:rFonts w:cs="Arial"/>
                <w:color w:val="1A1A1A"/>
                <w:szCs w:val="24"/>
              </w:rPr>
            </w:pPr>
            <w:r>
              <w:rPr>
                <w:rFonts w:cs="Arial"/>
                <w:color w:val="1A1A1A"/>
                <w:szCs w:val="24"/>
              </w:rPr>
              <w:t>Provided</w:t>
            </w:r>
            <w:r w:rsidR="00BD6E61">
              <w:rPr>
                <w:rFonts w:cs="Arial"/>
                <w:color w:val="1A1A1A"/>
                <w:szCs w:val="24"/>
              </w:rPr>
              <w:t xml:space="preserve"> awareness of the upcoming </w:t>
            </w:r>
            <w:r>
              <w:rPr>
                <w:rFonts w:cs="Arial"/>
                <w:color w:val="1A1A1A"/>
                <w:szCs w:val="24"/>
              </w:rPr>
              <w:t xml:space="preserve">Independent Validation and Verification </w:t>
            </w:r>
            <w:r w:rsidR="00BD6E61">
              <w:rPr>
                <w:rFonts w:cs="Arial"/>
                <w:color w:val="1A1A1A"/>
                <w:szCs w:val="24"/>
              </w:rPr>
              <w:t>review.</w:t>
            </w:r>
          </w:p>
        </w:tc>
      </w:tr>
      <w:tr w:rsidR="00202191" w:rsidTr="00222AC9">
        <w:tc>
          <w:tcPr>
            <w:tcW w:w="883" w:type="dxa"/>
          </w:tcPr>
          <w:p w:rsidR="00EB58E3" w:rsidRDefault="00EB58E3" w:rsidP="00C0583B">
            <w:pPr>
              <w:autoSpaceDE w:val="0"/>
              <w:autoSpaceDN w:val="0"/>
              <w:adjustRightInd w:val="0"/>
              <w:rPr>
                <w:rFonts w:cs="Arial"/>
                <w:color w:val="1A1A1A"/>
                <w:szCs w:val="24"/>
              </w:rPr>
            </w:pPr>
            <w:r>
              <w:rPr>
                <w:rFonts w:cs="Arial"/>
                <w:color w:val="1A1A1A"/>
                <w:szCs w:val="24"/>
              </w:rPr>
              <w:t>18-03</w:t>
            </w:r>
          </w:p>
        </w:tc>
        <w:tc>
          <w:tcPr>
            <w:tcW w:w="1151" w:type="dxa"/>
          </w:tcPr>
          <w:p w:rsidR="00EB58E3" w:rsidRDefault="00390A23" w:rsidP="00C0583B">
            <w:pPr>
              <w:autoSpaceDE w:val="0"/>
              <w:autoSpaceDN w:val="0"/>
              <w:adjustRightInd w:val="0"/>
              <w:rPr>
                <w:color w:val="000000"/>
              </w:rPr>
            </w:pPr>
            <w:r>
              <w:rPr>
                <w:color w:val="000000"/>
              </w:rPr>
              <w:t>10/23/17</w:t>
            </w:r>
          </w:p>
        </w:tc>
        <w:tc>
          <w:tcPr>
            <w:tcW w:w="3811" w:type="dxa"/>
          </w:tcPr>
          <w:p w:rsidR="00EB58E3" w:rsidRDefault="00EB58E3" w:rsidP="00C0583B">
            <w:pPr>
              <w:autoSpaceDE w:val="0"/>
              <w:autoSpaceDN w:val="0"/>
              <w:adjustRightInd w:val="0"/>
              <w:rPr>
                <w:rFonts w:cs="Arial"/>
                <w:color w:val="1A1A1A"/>
                <w:szCs w:val="24"/>
              </w:rPr>
            </w:pPr>
            <w:r>
              <w:rPr>
                <w:color w:val="000000"/>
              </w:rPr>
              <w:t>FY17 Independent Validation and Verification Review – Request for Contract Files</w:t>
            </w:r>
          </w:p>
        </w:tc>
        <w:tc>
          <w:tcPr>
            <w:tcW w:w="4945" w:type="dxa"/>
          </w:tcPr>
          <w:p w:rsidR="00EB58E3" w:rsidRDefault="005B6EA7" w:rsidP="00C0583B">
            <w:pPr>
              <w:autoSpaceDE w:val="0"/>
              <w:autoSpaceDN w:val="0"/>
              <w:adjustRightInd w:val="0"/>
              <w:rPr>
                <w:rFonts w:cs="Arial"/>
                <w:color w:val="1A1A1A"/>
                <w:szCs w:val="24"/>
              </w:rPr>
            </w:pPr>
            <w:r>
              <w:rPr>
                <w:rFonts w:cs="Arial"/>
                <w:color w:val="1A1A1A"/>
                <w:szCs w:val="24"/>
              </w:rPr>
              <w:t>F</w:t>
            </w:r>
            <w:r w:rsidR="00390A23">
              <w:rPr>
                <w:rFonts w:cs="Arial"/>
                <w:color w:val="1A1A1A"/>
                <w:szCs w:val="24"/>
              </w:rPr>
              <w:t>iles that were selected for Independent Validation and Verification review</w:t>
            </w:r>
            <w:r>
              <w:rPr>
                <w:rFonts w:cs="Arial"/>
                <w:color w:val="1A1A1A"/>
                <w:szCs w:val="24"/>
              </w:rPr>
              <w:t xml:space="preserve"> were requested</w:t>
            </w:r>
            <w:r w:rsidR="00390A23">
              <w:rPr>
                <w:rFonts w:cs="Arial"/>
                <w:color w:val="1A1A1A"/>
                <w:szCs w:val="24"/>
              </w:rPr>
              <w:t>.</w:t>
            </w:r>
          </w:p>
        </w:tc>
      </w:tr>
      <w:tr w:rsidR="00202191" w:rsidTr="00222AC9">
        <w:tc>
          <w:tcPr>
            <w:tcW w:w="883" w:type="dxa"/>
          </w:tcPr>
          <w:p w:rsidR="00EB58E3" w:rsidRDefault="00EB58E3" w:rsidP="00C0583B">
            <w:pPr>
              <w:autoSpaceDE w:val="0"/>
              <w:autoSpaceDN w:val="0"/>
              <w:adjustRightInd w:val="0"/>
              <w:rPr>
                <w:rFonts w:cs="Arial"/>
                <w:color w:val="1A1A1A"/>
                <w:szCs w:val="24"/>
              </w:rPr>
            </w:pPr>
            <w:r>
              <w:rPr>
                <w:rFonts w:cs="Arial"/>
                <w:color w:val="1A1A1A"/>
                <w:szCs w:val="24"/>
              </w:rPr>
              <w:t>18-04</w:t>
            </w:r>
          </w:p>
        </w:tc>
        <w:tc>
          <w:tcPr>
            <w:tcW w:w="1151" w:type="dxa"/>
          </w:tcPr>
          <w:p w:rsidR="00EB58E3" w:rsidRDefault="00390A23" w:rsidP="00C0583B">
            <w:pPr>
              <w:autoSpaceDE w:val="0"/>
              <w:autoSpaceDN w:val="0"/>
              <w:adjustRightInd w:val="0"/>
              <w:rPr>
                <w:color w:val="000000"/>
              </w:rPr>
            </w:pPr>
            <w:r>
              <w:rPr>
                <w:color w:val="000000"/>
              </w:rPr>
              <w:t>10/30</w:t>
            </w:r>
            <w:r w:rsidR="00222AC9">
              <w:rPr>
                <w:color w:val="000000"/>
              </w:rPr>
              <w:t>/</w:t>
            </w:r>
            <w:r>
              <w:rPr>
                <w:color w:val="000000"/>
              </w:rPr>
              <w:t>17</w:t>
            </w:r>
          </w:p>
        </w:tc>
        <w:tc>
          <w:tcPr>
            <w:tcW w:w="3811" w:type="dxa"/>
          </w:tcPr>
          <w:p w:rsidR="00EB58E3" w:rsidRDefault="00EB58E3" w:rsidP="00C0583B">
            <w:pPr>
              <w:autoSpaceDE w:val="0"/>
              <w:autoSpaceDN w:val="0"/>
              <w:adjustRightInd w:val="0"/>
              <w:rPr>
                <w:rFonts w:cs="Arial"/>
                <w:color w:val="1A1A1A"/>
                <w:szCs w:val="24"/>
              </w:rPr>
            </w:pPr>
            <w:r>
              <w:rPr>
                <w:color w:val="000000"/>
              </w:rPr>
              <w:t>DCIS ALERT: DCIS Version 1.5 Updates</w:t>
            </w:r>
          </w:p>
        </w:tc>
        <w:tc>
          <w:tcPr>
            <w:tcW w:w="4945" w:type="dxa"/>
          </w:tcPr>
          <w:p w:rsidR="00EB58E3" w:rsidRPr="00390A23" w:rsidRDefault="00347ABA" w:rsidP="00C0583B">
            <w:pPr>
              <w:rPr>
                <w:rFonts w:cs="Arial"/>
                <w:color w:val="1A1A1A"/>
                <w:szCs w:val="24"/>
              </w:rPr>
            </w:pPr>
            <w:r>
              <w:rPr>
                <w:rFonts w:cs="Arial"/>
                <w:bCs/>
                <w:szCs w:val="24"/>
              </w:rPr>
              <w:t>Described</w:t>
            </w:r>
            <w:r w:rsidR="00390A23" w:rsidRPr="00390A23">
              <w:rPr>
                <w:rFonts w:cs="Arial"/>
                <w:bCs/>
                <w:szCs w:val="24"/>
              </w:rPr>
              <w:t xml:space="preserve"> the DCIS items have been effected</w:t>
            </w:r>
            <w:r>
              <w:rPr>
                <w:rFonts w:cs="Arial"/>
                <w:bCs/>
                <w:szCs w:val="24"/>
              </w:rPr>
              <w:t xml:space="preserve"> by the V1.5 update and provided</w:t>
            </w:r>
            <w:r w:rsidR="00390A23" w:rsidRPr="00390A23">
              <w:rPr>
                <w:rFonts w:cs="Arial"/>
                <w:bCs/>
                <w:szCs w:val="24"/>
              </w:rPr>
              <w:t xml:space="preserve"> a copy of the</w:t>
            </w:r>
            <w:r w:rsidR="00390A23" w:rsidRPr="00390A23">
              <w:rPr>
                <w:rFonts w:cs="Arial"/>
                <w:szCs w:val="24"/>
              </w:rPr>
              <w:t xml:space="preserve"> FPDS-ng Data Dictionary V1.5 October 2017 and NIH DCIS Data User Manual October 2016.</w:t>
            </w:r>
          </w:p>
        </w:tc>
      </w:tr>
      <w:tr w:rsidR="00202191" w:rsidTr="00222AC9">
        <w:tc>
          <w:tcPr>
            <w:tcW w:w="883" w:type="dxa"/>
          </w:tcPr>
          <w:p w:rsidR="00EB58E3" w:rsidRDefault="00EB58E3" w:rsidP="00C0583B">
            <w:pPr>
              <w:autoSpaceDE w:val="0"/>
              <w:autoSpaceDN w:val="0"/>
              <w:adjustRightInd w:val="0"/>
              <w:rPr>
                <w:rFonts w:cs="Arial"/>
                <w:color w:val="1A1A1A"/>
                <w:szCs w:val="24"/>
              </w:rPr>
            </w:pPr>
            <w:r>
              <w:rPr>
                <w:rFonts w:cs="Arial"/>
                <w:color w:val="1A1A1A"/>
                <w:szCs w:val="24"/>
              </w:rPr>
              <w:t>18-05</w:t>
            </w:r>
          </w:p>
        </w:tc>
        <w:tc>
          <w:tcPr>
            <w:tcW w:w="1151" w:type="dxa"/>
          </w:tcPr>
          <w:p w:rsidR="00EB58E3" w:rsidRPr="002041C3" w:rsidRDefault="00A627A3" w:rsidP="00C0583B">
            <w:pPr>
              <w:autoSpaceDE w:val="0"/>
              <w:autoSpaceDN w:val="0"/>
              <w:adjustRightInd w:val="0"/>
              <w:rPr>
                <w:rFonts w:cs="Arial"/>
                <w:color w:val="1A1A1A"/>
                <w:szCs w:val="24"/>
              </w:rPr>
            </w:pPr>
            <w:r>
              <w:rPr>
                <w:rFonts w:cs="Arial"/>
                <w:color w:val="1A1A1A"/>
                <w:szCs w:val="24"/>
              </w:rPr>
              <w:t>10/31/17</w:t>
            </w:r>
          </w:p>
        </w:tc>
        <w:tc>
          <w:tcPr>
            <w:tcW w:w="3811" w:type="dxa"/>
          </w:tcPr>
          <w:p w:rsidR="00EB58E3" w:rsidRDefault="00EB58E3" w:rsidP="00C0583B">
            <w:pPr>
              <w:autoSpaceDE w:val="0"/>
              <w:autoSpaceDN w:val="0"/>
              <w:adjustRightInd w:val="0"/>
              <w:rPr>
                <w:rFonts w:cs="Arial"/>
                <w:color w:val="1A1A1A"/>
                <w:szCs w:val="24"/>
              </w:rPr>
            </w:pPr>
            <w:r w:rsidRPr="002041C3">
              <w:rPr>
                <w:rFonts w:cs="Arial"/>
                <w:color w:val="1A1A1A"/>
                <w:szCs w:val="24"/>
              </w:rPr>
              <w:t>FY17 Independent Validation and Verification Review – Request for Contract Files</w:t>
            </w:r>
          </w:p>
        </w:tc>
        <w:tc>
          <w:tcPr>
            <w:tcW w:w="4945" w:type="dxa"/>
          </w:tcPr>
          <w:p w:rsidR="00EB58E3" w:rsidRDefault="005B6EA7" w:rsidP="00C0583B">
            <w:pPr>
              <w:autoSpaceDE w:val="0"/>
              <w:autoSpaceDN w:val="0"/>
              <w:adjustRightInd w:val="0"/>
              <w:rPr>
                <w:rFonts w:cs="Arial"/>
                <w:color w:val="1A1A1A"/>
                <w:szCs w:val="24"/>
              </w:rPr>
            </w:pPr>
            <w:r>
              <w:rPr>
                <w:rFonts w:cs="Arial"/>
                <w:color w:val="1A1A1A"/>
                <w:szCs w:val="24"/>
              </w:rPr>
              <w:t>Files that were selected for Independent Validation and Verification review were requested.</w:t>
            </w:r>
          </w:p>
        </w:tc>
      </w:tr>
      <w:tr w:rsidR="00202191" w:rsidTr="00222AC9">
        <w:tc>
          <w:tcPr>
            <w:tcW w:w="883" w:type="dxa"/>
          </w:tcPr>
          <w:p w:rsidR="00EB58E3" w:rsidRDefault="00EB58E3" w:rsidP="00C0583B">
            <w:pPr>
              <w:autoSpaceDE w:val="0"/>
              <w:autoSpaceDN w:val="0"/>
              <w:adjustRightInd w:val="0"/>
              <w:rPr>
                <w:rFonts w:cs="Arial"/>
                <w:color w:val="1A1A1A"/>
                <w:szCs w:val="24"/>
              </w:rPr>
            </w:pPr>
            <w:r>
              <w:rPr>
                <w:rFonts w:cs="Arial"/>
                <w:color w:val="1A1A1A"/>
                <w:szCs w:val="24"/>
              </w:rPr>
              <w:t>18-06</w:t>
            </w:r>
          </w:p>
        </w:tc>
        <w:tc>
          <w:tcPr>
            <w:tcW w:w="1151" w:type="dxa"/>
          </w:tcPr>
          <w:p w:rsidR="00EB58E3" w:rsidRDefault="00022022" w:rsidP="00C0583B">
            <w:pPr>
              <w:autoSpaceDE w:val="0"/>
              <w:autoSpaceDN w:val="0"/>
              <w:adjustRightInd w:val="0"/>
              <w:rPr>
                <w:color w:val="000000"/>
              </w:rPr>
            </w:pPr>
            <w:r>
              <w:rPr>
                <w:color w:val="000000"/>
              </w:rPr>
              <w:t>11/9/17</w:t>
            </w:r>
          </w:p>
        </w:tc>
        <w:tc>
          <w:tcPr>
            <w:tcW w:w="3811" w:type="dxa"/>
          </w:tcPr>
          <w:p w:rsidR="00EB58E3" w:rsidRDefault="00EB58E3" w:rsidP="00C0583B">
            <w:pPr>
              <w:autoSpaceDE w:val="0"/>
              <w:autoSpaceDN w:val="0"/>
              <w:adjustRightInd w:val="0"/>
              <w:rPr>
                <w:rFonts w:cs="Arial"/>
                <w:color w:val="1A1A1A"/>
                <w:szCs w:val="24"/>
              </w:rPr>
            </w:pPr>
            <w:r>
              <w:rPr>
                <w:color w:val="000000"/>
              </w:rPr>
              <w:t>FPDS-ng and DCIS – Production Scheduled Maintenance</w:t>
            </w:r>
          </w:p>
        </w:tc>
        <w:tc>
          <w:tcPr>
            <w:tcW w:w="4945" w:type="dxa"/>
          </w:tcPr>
          <w:p w:rsidR="00EB58E3" w:rsidRDefault="00022022" w:rsidP="00C0583B">
            <w:pPr>
              <w:autoSpaceDE w:val="0"/>
              <w:autoSpaceDN w:val="0"/>
              <w:adjustRightInd w:val="0"/>
              <w:rPr>
                <w:rFonts w:cs="Arial"/>
                <w:color w:val="1A1A1A"/>
                <w:szCs w:val="24"/>
              </w:rPr>
            </w:pPr>
            <w:r>
              <w:rPr>
                <w:rFonts w:cs="Arial"/>
                <w:color w:val="1A1A1A"/>
                <w:szCs w:val="24"/>
              </w:rPr>
              <w:t>Notification of FPDS-ng and DCIS service interruption.</w:t>
            </w:r>
          </w:p>
        </w:tc>
      </w:tr>
      <w:tr w:rsidR="00202191" w:rsidTr="00222AC9">
        <w:tc>
          <w:tcPr>
            <w:tcW w:w="883" w:type="dxa"/>
          </w:tcPr>
          <w:p w:rsidR="00EB58E3" w:rsidRDefault="00EB58E3" w:rsidP="00C0583B">
            <w:pPr>
              <w:autoSpaceDE w:val="0"/>
              <w:autoSpaceDN w:val="0"/>
              <w:adjustRightInd w:val="0"/>
              <w:rPr>
                <w:rFonts w:cs="Arial"/>
                <w:color w:val="1A1A1A"/>
                <w:szCs w:val="24"/>
              </w:rPr>
            </w:pPr>
            <w:r>
              <w:rPr>
                <w:rFonts w:cs="Arial"/>
                <w:color w:val="1A1A1A"/>
                <w:szCs w:val="24"/>
              </w:rPr>
              <w:t>18-07</w:t>
            </w:r>
          </w:p>
        </w:tc>
        <w:tc>
          <w:tcPr>
            <w:tcW w:w="1151" w:type="dxa"/>
          </w:tcPr>
          <w:p w:rsidR="00EB58E3" w:rsidRDefault="00202191" w:rsidP="00C0583B">
            <w:pPr>
              <w:autoSpaceDE w:val="0"/>
              <w:autoSpaceDN w:val="0"/>
              <w:adjustRightInd w:val="0"/>
              <w:rPr>
                <w:color w:val="000000"/>
              </w:rPr>
            </w:pPr>
            <w:r>
              <w:rPr>
                <w:color w:val="000000"/>
              </w:rPr>
              <w:t>12/7/17</w:t>
            </w:r>
          </w:p>
        </w:tc>
        <w:tc>
          <w:tcPr>
            <w:tcW w:w="3811" w:type="dxa"/>
          </w:tcPr>
          <w:p w:rsidR="00EB58E3" w:rsidRDefault="00EB58E3" w:rsidP="00C0583B">
            <w:pPr>
              <w:autoSpaceDE w:val="0"/>
              <w:autoSpaceDN w:val="0"/>
              <w:adjustRightInd w:val="0"/>
              <w:rPr>
                <w:rFonts w:cs="Arial"/>
                <w:color w:val="1A1A1A"/>
                <w:szCs w:val="24"/>
              </w:rPr>
            </w:pPr>
            <w:r>
              <w:rPr>
                <w:color w:val="000000"/>
              </w:rPr>
              <w:t>DCIS ALERT - DCIS Item 10D NUMBER OF OFFERS RECEIVED</w:t>
            </w:r>
          </w:p>
        </w:tc>
        <w:tc>
          <w:tcPr>
            <w:tcW w:w="4945" w:type="dxa"/>
          </w:tcPr>
          <w:p w:rsidR="00222AC9" w:rsidRDefault="00202191" w:rsidP="00C0583B">
            <w:pPr>
              <w:autoSpaceDE w:val="0"/>
              <w:autoSpaceDN w:val="0"/>
              <w:adjustRightInd w:val="0"/>
              <w:rPr>
                <w:rFonts w:cs="Arial"/>
                <w:color w:val="1A1A1A"/>
                <w:szCs w:val="24"/>
              </w:rPr>
            </w:pPr>
            <w:r>
              <w:rPr>
                <w:rFonts w:cs="Arial"/>
                <w:color w:val="1A1A1A"/>
                <w:szCs w:val="24"/>
              </w:rPr>
              <w:t>Explanation of DCIS Item 10D – requires the actual number of quotations/</w:t>
            </w:r>
            <w:r w:rsidR="00222AC9">
              <w:rPr>
                <w:rFonts w:cs="Arial"/>
                <w:color w:val="1A1A1A"/>
                <w:szCs w:val="24"/>
              </w:rPr>
              <w:t>proposals/</w:t>
            </w:r>
          </w:p>
          <w:p w:rsidR="00202191" w:rsidRDefault="00222AC9" w:rsidP="00C0583B">
            <w:pPr>
              <w:autoSpaceDE w:val="0"/>
              <w:autoSpaceDN w:val="0"/>
              <w:adjustRightInd w:val="0"/>
              <w:rPr>
                <w:rFonts w:cs="Arial"/>
                <w:color w:val="1A1A1A"/>
                <w:szCs w:val="24"/>
              </w:rPr>
            </w:pPr>
            <w:r>
              <w:rPr>
                <w:rFonts w:cs="Arial"/>
                <w:color w:val="1A1A1A"/>
                <w:szCs w:val="24"/>
              </w:rPr>
              <w:t>bids/o</w:t>
            </w:r>
            <w:r w:rsidR="00202191">
              <w:rPr>
                <w:rFonts w:cs="Arial"/>
                <w:color w:val="1A1A1A"/>
                <w:szCs w:val="24"/>
              </w:rPr>
              <w:t>ffers received in response to a solicitation.</w:t>
            </w:r>
          </w:p>
        </w:tc>
      </w:tr>
      <w:tr w:rsidR="00202191" w:rsidTr="00222AC9">
        <w:tc>
          <w:tcPr>
            <w:tcW w:w="883" w:type="dxa"/>
          </w:tcPr>
          <w:p w:rsidR="00EB58E3" w:rsidRDefault="00EB58E3" w:rsidP="00C0583B">
            <w:pPr>
              <w:autoSpaceDE w:val="0"/>
              <w:autoSpaceDN w:val="0"/>
              <w:adjustRightInd w:val="0"/>
              <w:rPr>
                <w:rFonts w:cs="Arial"/>
                <w:color w:val="1A1A1A"/>
                <w:szCs w:val="24"/>
              </w:rPr>
            </w:pPr>
            <w:r>
              <w:rPr>
                <w:rFonts w:cs="Arial"/>
                <w:color w:val="1A1A1A"/>
                <w:szCs w:val="24"/>
              </w:rPr>
              <w:t>18-08</w:t>
            </w:r>
          </w:p>
        </w:tc>
        <w:tc>
          <w:tcPr>
            <w:tcW w:w="1151" w:type="dxa"/>
          </w:tcPr>
          <w:p w:rsidR="00EB58E3" w:rsidRDefault="003E673E" w:rsidP="00C0583B">
            <w:pPr>
              <w:autoSpaceDE w:val="0"/>
              <w:autoSpaceDN w:val="0"/>
              <w:adjustRightInd w:val="0"/>
              <w:rPr>
                <w:color w:val="000000"/>
              </w:rPr>
            </w:pPr>
            <w:r>
              <w:rPr>
                <w:color w:val="000000"/>
              </w:rPr>
              <w:t>1/11/18</w:t>
            </w:r>
          </w:p>
        </w:tc>
        <w:tc>
          <w:tcPr>
            <w:tcW w:w="3811" w:type="dxa"/>
          </w:tcPr>
          <w:p w:rsidR="00EB58E3" w:rsidRDefault="00EB58E3" w:rsidP="00C0583B">
            <w:pPr>
              <w:autoSpaceDE w:val="0"/>
              <w:autoSpaceDN w:val="0"/>
              <w:adjustRightInd w:val="0"/>
              <w:rPr>
                <w:rFonts w:cs="Arial"/>
                <w:color w:val="1A1A1A"/>
                <w:szCs w:val="24"/>
              </w:rPr>
            </w:pPr>
            <w:r>
              <w:rPr>
                <w:color w:val="000000"/>
              </w:rPr>
              <w:t>Reminder-Decommissioning of the NIH Electronic Vendor Invoicing Program (eVIP) Software Platform</w:t>
            </w:r>
          </w:p>
        </w:tc>
        <w:tc>
          <w:tcPr>
            <w:tcW w:w="4945" w:type="dxa"/>
          </w:tcPr>
          <w:p w:rsidR="00EB58E3" w:rsidRDefault="003E673E" w:rsidP="00C0583B">
            <w:pPr>
              <w:autoSpaceDE w:val="0"/>
              <w:autoSpaceDN w:val="0"/>
              <w:adjustRightInd w:val="0"/>
              <w:rPr>
                <w:rFonts w:cs="Arial"/>
                <w:color w:val="1A1A1A"/>
                <w:szCs w:val="24"/>
              </w:rPr>
            </w:pPr>
            <w:r>
              <w:rPr>
                <w:rFonts w:cs="Arial"/>
                <w:color w:val="1A1A1A"/>
                <w:szCs w:val="24"/>
              </w:rPr>
              <w:t>Provided information pertaining to the NIH eVIP decommissioning.</w:t>
            </w:r>
          </w:p>
        </w:tc>
      </w:tr>
      <w:tr w:rsidR="00202191" w:rsidTr="00222AC9">
        <w:tc>
          <w:tcPr>
            <w:tcW w:w="883" w:type="dxa"/>
          </w:tcPr>
          <w:p w:rsidR="00EB58E3" w:rsidRDefault="00EB58E3" w:rsidP="00C0583B">
            <w:pPr>
              <w:autoSpaceDE w:val="0"/>
              <w:autoSpaceDN w:val="0"/>
              <w:adjustRightInd w:val="0"/>
              <w:rPr>
                <w:rFonts w:cs="Arial"/>
                <w:color w:val="1A1A1A"/>
                <w:szCs w:val="24"/>
              </w:rPr>
            </w:pPr>
            <w:r>
              <w:rPr>
                <w:rFonts w:cs="Arial"/>
                <w:color w:val="1A1A1A"/>
                <w:szCs w:val="24"/>
              </w:rPr>
              <w:t>18-09</w:t>
            </w:r>
          </w:p>
        </w:tc>
        <w:tc>
          <w:tcPr>
            <w:tcW w:w="1151" w:type="dxa"/>
          </w:tcPr>
          <w:p w:rsidR="00EB58E3" w:rsidRDefault="00EB58E3" w:rsidP="00C0583B">
            <w:pPr>
              <w:autoSpaceDE w:val="0"/>
              <w:autoSpaceDN w:val="0"/>
              <w:adjustRightInd w:val="0"/>
              <w:rPr>
                <w:color w:val="000000"/>
              </w:rPr>
            </w:pPr>
            <w:r>
              <w:rPr>
                <w:color w:val="000000"/>
              </w:rPr>
              <w:t>2/1/18</w:t>
            </w:r>
          </w:p>
        </w:tc>
        <w:tc>
          <w:tcPr>
            <w:tcW w:w="3811" w:type="dxa"/>
          </w:tcPr>
          <w:p w:rsidR="00EB58E3" w:rsidRDefault="00EB58E3" w:rsidP="00C0583B">
            <w:pPr>
              <w:autoSpaceDE w:val="0"/>
              <w:autoSpaceDN w:val="0"/>
              <w:adjustRightInd w:val="0"/>
              <w:rPr>
                <w:rFonts w:cs="Arial"/>
                <w:color w:val="1A1A1A"/>
                <w:szCs w:val="24"/>
              </w:rPr>
            </w:pPr>
            <w:r>
              <w:rPr>
                <w:color w:val="000000"/>
              </w:rPr>
              <w:t>How to Export nVision Reports with Multiple Tabs</w:t>
            </w:r>
          </w:p>
        </w:tc>
        <w:tc>
          <w:tcPr>
            <w:tcW w:w="4945" w:type="dxa"/>
          </w:tcPr>
          <w:p w:rsidR="00EB58E3" w:rsidRDefault="00EB58E3" w:rsidP="00C0583B">
            <w:pPr>
              <w:autoSpaceDE w:val="0"/>
              <w:autoSpaceDN w:val="0"/>
              <w:adjustRightInd w:val="0"/>
              <w:rPr>
                <w:rFonts w:cs="Arial"/>
                <w:color w:val="1A1A1A"/>
                <w:szCs w:val="24"/>
              </w:rPr>
            </w:pPr>
            <w:r>
              <w:rPr>
                <w:rFonts w:cs="Arial"/>
                <w:color w:val="1A1A1A"/>
                <w:szCs w:val="24"/>
              </w:rPr>
              <w:t>Provided an attachment to assist in exporting data from reports with multiple tabs to one spreadsheet.</w:t>
            </w:r>
          </w:p>
        </w:tc>
      </w:tr>
      <w:tr w:rsidR="00202191" w:rsidTr="00222AC9">
        <w:tc>
          <w:tcPr>
            <w:tcW w:w="883" w:type="dxa"/>
          </w:tcPr>
          <w:p w:rsidR="00EB58E3" w:rsidRDefault="00EB58E3" w:rsidP="00C0583B">
            <w:pPr>
              <w:autoSpaceDE w:val="0"/>
              <w:autoSpaceDN w:val="0"/>
              <w:adjustRightInd w:val="0"/>
              <w:rPr>
                <w:rFonts w:cs="Arial"/>
                <w:color w:val="1A1A1A"/>
                <w:szCs w:val="24"/>
              </w:rPr>
            </w:pPr>
            <w:r>
              <w:rPr>
                <w:rFonts w:cs="Arial"/>
                <w:color w:val="1A1A1A"/>
                <w:szCs w:val="24"/>
              </w:rPr>
              <w:t>18-10</w:t>
            </w:r>
          </w:p>
        </w:tc>
        <w:tc>
          <w:tcPr>
            <w:tcW w:w="1151" w:type="dxa"/>
          </w:tcPr>
          <w:p w:rsidR="00EB58E3" w:rsidRDefault="00EB58E3" w:rsidP="00C0583B">
            <w:pPr>
              <w:autoSpaceDE w:val="0"/>
              <w:autoSpaceDN w:val="0"/>
              <w:adjustRightInd w:val="0"/>
              <w:rPr>
                <w:rFonts w:cs="Arial"/>
                <w:color w:val="1A1A1A"/>
                <w:szCs w:val="24"/>
              </w:rPr>
            </w:pPr>
            <w:r>
              <w:rPr>
                <w:rFonts w:cs="Arial"/>
                <w:color w:val="1A1A1A"/>
                <w:szCs w:val="24"/>
              </w:rPr>
              <w:t>2/8/18</w:t>
            </w:r>
          </w:p>
        </w:tc>
        <w:tc>
          <w:tcPr>
            <w:tcW w:w="3811" w:type="dxa"/>
          </w:tcPr>
          <w:p w:rsidR="00EB58E3" w:rsidRDefault="00EB58E3" w:rsidP="00C0583B">
            <w:pPr>
              <w:autoSpaceDE w:val="0"/>
              <w:autoSpaceDN w:val="0"/>
              <w:adjustRightInd w:val="0"/>
              <w:rPr>
                <w:rFonts w:cs="Arial"/>
                <w:color w:val="1A1A1A"/>
                <w:szCs w:val="24"/>
              </w:rPr>
            </w:pPr>
            <w:r>
              <w:rPr>
                <w:rFonts w:cs="Arial"/>
                <w:color w:val="1A1A1A"/>
                <w:szCs w:val="24"/>
              </w:rPr>
              <w:t>SAM Registration Issues</w:t>
            </w:r>
          </w:p>
        </w:tc>
        <w:tc>
          <w:tcPr>
            <w:tcW w:w="4945" w:type="dxa"/>
          </w:tcPr>
          <w:p w:rsidR="00EB58E3" w:rsidRDefault="00EB58E3" w:rsidP="00C0583B">
            <w:pPr>
              <w:autoSpaceDE w:val="0"/>
              <w:autoSpaceDN w:val="0"/>
              <w:adjustRightInd w:val="0"/>
              <w:rPr>
                <w:rFonts w:cs="Arial"/>
                <w:color w:val="1A1A1A"/>
                <w:szCs w:val="24"/>
              </w:rPr>
            </w:pPr>
            <w:r>
              <w:rPr>
                <w:rFonts w:cs="Arial"/>
                <w:color w:val="1A1A1A"/>
                <w:szCs w:val="24"/>
              </w:rPr>
              <w:t>Notification of a SAM service interruption.</w:t>
            </w:r>
          </w:p>
        </w:tc>
      </w:tr>
    </w:tbl>
    <w:p w:rsidR="00CB0566" w:rsidRDefault="00CB0566" w:rsidP="00C0583B">
      <w:pPr>
        <w:autoSpaceDE w:val="0"/>
        <w:autoSpaceDN w:val="0"/>
        <w:adjustRightInd w:val="0"/>
        <w:spacing w:line="240" w:lineRule="auto"/>
        <w:rPr>
          <w:rFonts w:cs="Arial"/>
          <w:color w:val="1A1A1A"/>
          <w:szCs w:val="24"/>
        </w:rPr>
      </w:pPr>
    </w:p>
    <w:p w:rsidR="00CB0566" w:rsidRDefault="00CB0566" w:rsidP="00CB0566">
      <w:r>
        <w:br w:type="page"/>
      </w:r>
    </w:p>
    <w:p w:rsidR="004D1137" w:rsidRPr="00C0583B" w:rsidRDefault="000E0F31" w:rsidP="00C0583B">
      <w:pPr>
        <w:pStyle w:val="Heading1"/>
        <w:spacing w:before="0" w:after="120" w:line="240" w:lineRule="auto"/>
        <w:contextualSpacing w:val="0"/>
        <w:rPr>
          <w:rFonts w:eastAsia="Arial" w:cs="Arial"/>
          <w:spacing w:val="-5"/>
          <w:szCs w:val="32"/>
        </w:rPr>
      </w:pPr>
      <w:r>
        <w:rPr>
          <w:rFonts w:eastAsia="Arial" w:cs="Arial"/>
          <w:spacing w:val="-5"/>
          <w:szCs w:val="32"/>
        </w:rPr>
        <w:lastRenderedPageBreak/>
        <w:t>T</w:t>
      </w:r>
      <w:r w:rsidRPr="004C4D13">
        <w:rPr>
          <w:rFonts w:eastAsia="Arial" w:cs="Arial"/>
          <w:spacing w:val="-5"/>
          <w:szCs w:val="32"/>
        </w:rPr>
        <w:t>raining Information</w:t>
      </w:r>
    </w:p>
    <w:p w:rsidR="004D1137" w:rsidRPr="004D1137" w:rsidRDefault="00205673" w:rsidP="00C0583B">
      <w:pPr>
        <w:spacing w:after="120" w:line="240" w:lineRule="auto"/>
        <w:rPr>
          <w:rStyle w:val="Strong"/>
          <w:sz w:val="28"/>
          <w:szCs w:val="28"/>
        </w:rPr>
      </w:pPr>
      <w:r w:rsidRPr="004D1137">
        <w:rPr>
          <w:rStyle w:val="Strong"/>
          <w:sz w:val="28"/>
          <w:szCs w:val="28"/>
        </w:rPr>
        <w:t>Blanket Purchase Agreement Training</w:t>
      </w:r>
    </w:p>
    <w:p w:rsidR="00205673" w:rsidRPr="00C0583B" w:rsidRDefault="00205673" w:rsidP="00C0583B">
      <w:pPr>
        <w:spacing w:after="120" w:line="240" w:lineRule="auto"/>
        <w:rPr>
          <w:b/>
          <w:bCs/>
          <w:spacing w:val="5"/>
          <w:szCs w:val="24"/>
          <w:u w:val="single"/>
        </w:rPr>
      </w:pPr>
      <w:r w:rsidRPr="00266A71">
        <w:rPr>
          <w:rStyle w:val="IntenseReference"/>
          <w:szCs w:val="24"/>
        </w:rPr>
        <w:t>Need to make a quick buy or create value for your customer?</w:t>
      </w:r>
    </w:p>
    <w:p w:rsidR="00205673" w:rsidRPr="00266A71" w:rsidRDefault="00205673" w:rsidP="00C0583B">
      <w:pPr>
        <w:spacing w:after="120" w:line="240" w:lineRule="auto"/>
        <w:rPr>
          <w:rFonts w:cs="Arial"/>
          <w:szCs w:val="24"/>
        </w:rPr>
      </w:pPr>
      <w:r w:rsidRPr="00266A71">
        <w:rPr>
          <w:rFonts w:cs="Arial"/>
          <w:szCs w:val="24"/>
        </w:rPr>
        <w:t>The NIH BPA Program is here to help!</w:t>
      </w:r>
    </w:p>
    <w:p w:rsidR="002720CF" w:rsidRDefault="00205673" w:rsidP="00C0583B">
      <w:pPr>
        <w:spacing w:after="120" w:line="240" w:lineRule="auto"/>
        <w:rPr>
          <w:rStyle w:val="Strong"/>
        </w:rPr>
      </w:pPr>
      <w:r w:rsidRPr="00266A71">
        <w:rPr>
          <w:rFonts w:cs="Arial"/>
          <w:szCs w:val="24"/>
        </w:rPr>
        <w:t>We offer training to those in the Simplified and Delegated Acquisition Community. Please join us for our next WebEx Training/Lecture session that will be held on</w:t>
      </w:r>
      <w:r w:rsidRPr="004D1137">
        <w:rPr>
          <w:rStyle w:val="IntenseReference"/>
          <w:b w:val="0"/>
          <w:szCs w:val="24"/>
          <w:u w:val="none"/>
        </w:rPr>
        <w:t xml:space="preserve"> </w:t>
      </w:r>
      <w:r w:rsidRPr="00266A71">
        <w:rPr>
          <w:rStyle w:val="IntenseReference"/>
          <w:szCs w:val="24"/>
        </w:rPr>
        <w:t>May 10, 2018</w:t>
      </w:r>
      <w:r w:rsidRPr="00266A71">
        <w:rPr>
          <w:rStyle w:val="Strong"/>
        </w:rPr>
        <w:t>!</w:t>
      </w:r>
    </w:p>
    <w:p w:rsidR="00205673" w:rsidRPr="00266A71" w:rsidRDefault="00205673" w:rsidP="00C0583B">
      <w:pPr>
        <w:spacing w:after="120" w:line="240" w:lineRule="auto"/>
        <w:rPr>
          <w:rFonts w:cs="Arial"/>
          <w:szCs w:val="24"/>
        </w:rPr>
      </w:pPr>
      <w:r w:rsidRPr="00266A71">
        <w:rPr>
          <w:rFonts w:cs="Arial"/>
          <w:szCs w:val="24"/>
        </w:rPr>
        <w:t>This training will cover topics such as the background of the program, the definition of a BPA, benefits of using BPAs, compe</w:t>
      </w:r>
      <w:r w:rsidR="00AE4F9B">
        <w:rPr>
          <w:rFonts w:cs="Arial"/>
          <w:szCs w:val="24"/>
        </w:rPr>
        <w:t xml:space="preserve">tition requirements, and more. </w:t>
      </w:r>
      <w:r w:rsidRPr="00266A71">
        <w:rPr>
          <w:rFonts w:cs="Arial"/>
          <w:szCs w:val="24"/>
        </w:rPr>
        <w:t>There will be Q &amp; A at the end of the session.</w:t>
      </w:r>
    </w:p>
    <w:p w:rsidR="00205673" w:rsidRPr="00C0583B" w:rsidRDefault="00205673" w:rsidP="00C0583B">
      <w:pPr>
        <w:spacing w:after="120" w:line="240" w:lineRule="auto"/>
        <w:rPr>
          <w:b/>
          <w:bCs/>
        </w:rPr>
      </w:pPr>
      <w:r w:rsidRPr="00266A71">
        <w:rPr>
          <w:rStyle w:val="Strong"/>
        </w:rPr>
        <w:t>In addition to the knowledge gain</w:t>
      </w:r>
      <w:r w:rsidR="00266A71" w:rsidRPr="00266A71">
        <w:rPr>
          <w:rStyle w:val="Strong"/>
        </w:rPr>
        <w:t>ed, you will receive 2 CLP</w:t>
      </w:r>
      <w:r w:rsidRPr="00266A71">
        <w:rPr>
          <w:rStyle w:val="Strong"/>
        </w:rPr>
        <w:t>s!</w:t>
      </w:r>
    </w:p>
    <w:p w:rsidR="00205673" w:rsidRPr="00C0583B" w:rsidRDefault="00205673" w:rsidP="00C0583B">
      <w:pPr>
        <w:spacing w:after="120" w:line="240" w:lineRule="auto"/>
        <w:rPr>
          <w:rFonts w:cs="Arial"/>
          <w:color w:val="000000"/>
          <w:szCs w:val="24"/>
        </w:rPr>
      </w:pPr>
      <w:r w:rsidRPr="00266A71">
        <w:rPr>
          <w:rFonts w:cs="Arial"/>
          <w:color w:val="000000"/>
          <w:szCs w:val="24"/>
        </w:rPr>
        <w:t xml:space="preserve">Registration for this class </w:t>
      </w:r>
      <w:r w:rsidR="00AE4F9B">
        <w:rPr>
          <w:rFonts w:cs="Arial"/>
          <w:szCs w:val="24"/>
        </w:rPr>
        <w:t>will begi</w:t>
      </w:r>
      <w:r w:rsidRPr="00266A71">
        <w:rPr>
          <w:rFonts w:cs="Arial"/>
          <w:szCs w:val="24"/>
        </w:rPr>
        <w:t>n on</w:t>
      </w:r>
      <w:r w:rsidRPr="00266A71">
        <w:rPr>
          <w:rFonts w:cs="Arial"/>
          <w:color w:val="000000"/>
          <w:szCs w:val="24"/>
        </w:rPr>
        <w:t xml:space="preserve"> </w:t>
      </w:r>
      <w:r w:rsidRPr="00266A71">
        <w:rPr>
          <w:rStyle w:val="IntenseReference"/>
          <w:szCs w:val="24"/>
        </w:rPr>
        <w:t>April 20, 2018</w:t>
      </w:r>
      <w:r w:rsidRPr="00266A71">
        <w:rPr>
          <w:rFonts w:cs="Arial"/>
          <w:color w:val="000000"/>
          <w:szCs w:val="24"/>
        </w:rPr>
        <w:t xml:space="preserve"> and closes on </w:t>
      </w:r>
      <w:r w:rsidRPr="00266A71">
        <w:rPr>
          <w:rStyle w:val="IntenseReference"/>
          <w:szCs w:val="24"/>
        </w:rPr>
        <w:t>May 9, 2018</w:t>
      </w:r>
      <w:r w:rsidRPr="00266A71">
        <w:rPr>
          <w:rFonts w:cs="Arial"/>
          <w:color w:val="000000"/>
          <w:szCs w:val="24"/>
        </w:rPr>
        <w:t>.</w:t>
      </w:r>
      <w:r w:rsidRPr="00266A71">
        <w:rPr>
          <w:rFonts w:cs="Arial"/>
          <w:szCs w:val="24"/>
        </w:rPr>
        <w:t xml:space="preserve"> </w:t>
      </w:r>
      <w:r w:rsidRPr="00266A71">
        <w:rPr>
          <w:rFonts w:cs="Arial"/>
          <w:color w:val="000000"/>
          <w:szCs w:val="24"/>
        </w:rPr>
        <w:t>More information regarding this class, including WebEx and LMS links</w:t>
      </w:r>
      <w:r w:rsidR="004D1137">
        <w:rPr>
          <w:rFonts w:cs="Arial"/>
          <w:color w:val="000000"/>
          <w:szCs w:val="24"/>
        </w:rPr>
        <w:t>,</w:t>
      </w:r>
      <w:r w:rsidRPr="00266A71">
        <w:rPr>
          <w:rFonts w:cs="Arial"/>
          <w:color w:val="000000"/>
          <w:szCs w:val="24"/>
        </w:rPr>
        <w:t xml:space="preserve"> will be announced soon.</w:t>
      </w:r>
    </w:p>
    <w:p w:rsidR="00C76584" w:rsidRPr="00266A71" w:rsidRDefault="00205673" w:rsidP="00C0583B">
      <w:pPr>
        <w:spacing w:after="120" w:line="240" w:lineRule="auto"/>
        <w:rPr>
          <w:rFonts w:cs="Arial"/>
          <w:szCs w:val="24"/>
        </w:rPr>
      </w:pPr>
      <w:r w:rsidRPr="00266A71">
        <w:rPr>
          <w:rFonts w:cs="Arial"/>
          <w:szCs w:val="24"/>
        </w:rPr>
        <w:t>For further information</w:t>
      </w:r>
      <w:r w:rsidR="004D1137">
        <w:rPr>
          <w:rFonts w:cs="Arial"/>
          <w:szCs w:val="24"/>
        </w:rPr>
        <w:t>,</w:t>
      </w:r>
      <w:r w:rsidRPr="00266A71">
        <w:rPr>
          <w:rFonts w:cs="Arial"/>
          <w:szCs w:val="24"/>
        </w:rPr>
        <w:t xml:space="preserve"> please contact Christina F. Vaughan at </w:t>
      </w:r>
      <w:hyperlink r:id="rId24" w:tooltip="vaughanc@od.nih.gov" w:history="1">
        <w:r w:rsidRPr="00266A71">
          <w:rPr>
            <w:rStyle w:val="Hyperlink"/>
            <w:rFonts w:cs="Arial"/>
            <w:szCs w:val="24"/>
          </w:rPr>
          <w:t>vaughanc@od.nih.gov</w:t>
        </w:r>
      </w:hyperlink>
      <w:r w:rsidRPr="00266A71">
        <w:rPr>
          <w:rFonts w:cs="Arial"/>
          <w:szCs w:val="24"/>
        </w:rPr>
        <w:t xml:space="preserve"> or 301-435-3937</w:t>
      </w:r>
      <w:r w:rsidR="004D1137">
        <w:rPr>
          <w:rFonts w:cs="Arial"/>
          <w:szCs w:val="24"/>
        </w:rPr>
        <w:t>.</w:t>
      </w:r>
    </w:p>
    <w:p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Acquisition Training at NIH</w:t>
      </w:r>
    </w:p>
    <w:p w:rsidR="00225194" w:rsidRPr="00C0583B" w:rsidRDefault="004C4D13" w:rsidP="00C0583B">
      <w:pPr>
        <w:spacing w:after="120" w:line="240" w:lineRule="auto"/>
        <w:rPr>
          <w:rFonts w:eastAsia="Calibri" w:cs="Arial"/>
          <w:color w:val="0000FF"/>
          <w:spacing w:val="-1"/>
          <w:szCs w:val="24"/>
          <w:u w:val="single" w:color="0000FF"/>
        </w:rPr>
      </w:pPr>
      <w:r w:rsidRPr="004467E3">
        <w:rPr>
          <w:rFonts w:eastAsia="Calibri" w:cs="Arial"/>
          <w:spacing w:val="1"/>
          <w:szCs w:val="24"/>
        </w:rPr>
        <w:t>A</w:t>
      </w:r>
      <w:r w:rsidRPr="004467E3">
        <w:rPr>
          <w:rFonts w:eastAsia="Calibri" w:cs="Arial"/>
          <w:szCs w:val="24"/>
        </w:rPr>
        <w:t>c</w:t>
      </w:r>
      <w:r w:rsidRPr="004467E3">
        <w:rPr>
          <w:rFonts w:eastAsia="Calibri" w:cs="Arial"/>
          <w:spacing w:val="-1"/>
          <w:szCs w:val="24"/>
        </w:rPr>
        <w:t>q</w:t>
      </w:r>
      <w:r w:rsidRPr="004467E3">
        <w:rPr>
          <w:rFonts w:eastAsia="Calibri" w:cs="Arial"/>
          <w:spacing w:val="1"/>
          <w:szCs w:val="24"/>
        </w:rPr>
        <w:t>u</w:t>
      </w:r>
      <w:r w:rsidRPr="004467E3">
        <w:rPr>
          <w:rFonts w:eastAsia="Calibri" w:cs="Arial"/>
          <w:spacing w:val="-1"/>
          <w:szCs w:val="24"/>
        </w:rPr>
        <w:t>i</w:t>
      </w:r>
      <w:r w:rsidRPr="004467E3">
        <w:rPr>
          <w:rFonts w:eastAsia="Calibri" w:cs="Arial"/>
          <w:szCs w:val="24"/>
        </w:rPr>
        <w:t>s</w:t>
      </w:r>
      <w:r w:rsidRPr="004467E3">
        <w:rPr>
          <w:rFonts w:eastAsia="Calibri" w:cs="Arial"/>
          <w:spacing w:val="-1"/>
          <w:szCs w:val="24"/>
        </w:rPr>
        <w:t>i</w:t>
      </w:r>
      <w:r w:rsidRPr="004467E3">
        <w:rPr>
          <w:rFonts w:eastAsia="Calibri" w:cs="Arial"/>
          <w:spacing w:val="1"/>
          <w:szCs w:val="24"/>
        </w:rPr>
        <w:t>t</w:t>
      </w:r>
      <w:r w:rsidRPr="004467E3">
        <w:rPr>
          <w:rFonts w:eastAsia="Calibri" w:cs="Arial"/>
          <w:spacing w:val="-1"/>
          <w:szCs w:val="24"/>
        </w:rPr>
        <w:t>i</w:t>
      </w:r>
      <w:r w:rsidRPr="004467E3">
        <w:rPr>
          <w:rFonts w:eastAsia="Calibri" w:cs="Arial"/>
          <w:spacing w:val="1"/>
          <w:szCs w:val="24"/>
        </w:rPr>
        <w:t>o</w:t>
      </w:r>
      <w:r w:rsidRPr="004467E3">
        <w:rPr>
          <w:rFonts w:eastAsia="Calibri" w:cs="Arial"/>
          <w:szCs w:val="24"/>
        </w:rPr>
        <w:t>n</w:t>
      </w:r>
      <w:r w:rsidRPr="004467E3">
        <w:rPr>
          <w:rFonts w:eastAsia="Calibri" w:cs="Arial"/>
          <w:spacing w:val="2"/>
          <w:szCs w:val="24"/>
        </w:rPr>
        <w:t xml:space="preserve"> T</w:t>
      </w:r>
      <w:r w:rsidRPr="004467E3">
        <w:rPr>
          <w:rFonts w:eastAsia="Calibri" w:cs="Arial"/>
          <w:spacing w:val="-3"/>
          <w:szCs w:val="24"/>
        </w:rPr>
        <w:t>r</w:t>
      </w:r>
      <w:r w:rsidRPr="004467E3">
        <w:rPr>
          <w:rFonts w:eastAsia="Calibri" w:cs="Arial"/>
          <w:spacing w:val="1"/>
          <w:szCs w:val="24"/>
        </w:rPr>
        <w:t>a</w:t>
      </w:r>
      <w:r w:rsidRPr="004467E3">
        <w:rPr>
          <w:rFonts w:eastAsia="Calibri" w:cs="Arial"/>
          <w:spacing w:val="-1"/>
          <w:szCs w:val="24"/>
        </w:rPr>
        <w:t>i</w:t>
      </w:r>
      <w:r w:rsidRPr="004467E3">
        <w:rPr>
          <w:rFonts w:eastAsia="Calibri" w:cs="Arial"/>
          <w:spacing w:val="1"/>
          <w:szCs w:val="24"/>
        </w:rPr>
        <w:t>n</w:t>
      </w:r>
      <w:r w:rsidRPr="004467E3">
        <w:rPr>
          <w:rFonts w:eastAsia="Calibri" w:cs="Arial"/>
          <w:spacing w:val="-1"/>
          <w:szCs w:val="24"/>
        </w:rPr>
        <w:t>i</w:t>
      </w:r>
      <w:r w:rsidRPr="004467E3">
        <w:rPr>
          <w:rFonts w:eastAsia="Calibri" w:cs="Arial"/>
          <w:spacing w:val="1"/>
          <w:szCs w:val="24"/>
        </w:rPr>
        <w:t>n</w:t>
      </w:r>
      <w:r w:rsidRPr="004467E3">
        <w:rPr>
          <w:rFonts w:eastAsia="Calibri" w:cs="Arial"/>
          <w:szCs w:val="24"/>
        </w:rPr>
        <w:t>g</w:t>
      </w:r>
      <w:r w:rsidRPr="004467E3">
        <w:rPr>
          <w:rFonts w:eastAsia="Calibri" w:cs="Arial"/>
          <w:spacing w:val="-1"/>
          <w:szCs w:val="24"/>
        </w:rPr>
        <w:t xml:space="preserve"> Cl</w:t>
      </w:r>
      <w:r w:rsidRPr="004467E3">
        <w:rPr>
          <w:rFonts w:eastAsia="Calibri" w:cs="Arial"/>
          <w:spacing w:val="1"/>
          <w:szCs w:val="24"/>
        </w:rPr>
        <w:t>a</w:t>
      </w:r>
      <w:r w:rsidRPr="004467E3">
        <w:rPr>
          <w:rFonts w:eastAsia="Calibri" w:cs="Arial"/>
          <w:szCs w:val="24"/>
        </w:rPr>
        <w:t>ss</w:t>
      </w:r>
      <w:r w:rsidRPr="004467E3">
        <w:rPr>
          <w:rFonts w:eastAsia="Calibri" w:cs="Arial"/>
          <w:spacing w:val="1"/>
          <w:szCs w:val="24"/>
        </w:rPr>
        <w:t>e</w:t>
      </w:r>
      <w:r w:rsidRPr="004467E3">
        <w:rPr>
          <w:rFonts w:eastAsia="Calibri" w:cs="Arial"/>
          <w:szCs w:val="24"/>
        </w:rPr>
        <w:t>s</w:t>
      </w:r>
      <w:r w:rsidRPr="004467E3">
        <w:rPr>
          <w:rFonts w:eastAsia="Calibri" w:cs="Arial"/>
          <w:spacing w:val="1"/>
          <w:szCs w:val="24"/>
        </w:rPr>
        <w:t xml:space="preserve"> that are offered by the NIH Training Center </w:t>
      </w:r>
      <w:r w:rsidRPr="004467E3">
        <w:rPr>
          <w:rFonts w:eastAsia="Calibri" w:cs="Arial"/>
          <w:szCs w:val="24"/>
        </w:rPr>
        <w:t>can</w:t>
      </w:r>
      <w:r w:rsidRPr="004467E3">
        <w:rPr>
          <w:rFonts w:eastAsia="Calibri" w:cs="Arial"/>
          <w:spacing w:val="2"/>
          <w:szCs w:val="24"/>
        </w:rPr>
        <w:t xml:space="preserve"> </w:t>
      </w:r>
      <w:r w:rsidRPr="004467E3">
        <w:rPr>
          <w:rFonts w:eastAsia="Calibri" w:cs="Arial"/>
          <w:spacing w:val="-1"/>
          <w:szCs w:val="24"/>
        </w:rPr>
        <w:t>b</w:t>
      </w:r>
      <w:r w:rsidRPr="004467E3">
        <w:rPr>
          <w:rFonts w:eastAsia="Calibri" w:cs="Arial"/>
          <w:szCs w:val="24"/>
        </w:rPr>
        <w:t>e</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c</w:t>
      </w:r>
      <w:r w:rsidRPr="004467E3">
        <w:rPr>
          <w:rFonts w:eastAsia="Calibri" w:cs="Arial"/>
          <w:spacing w:val="-2"/>
          <w:szCs w:val="24"/>
        </w:rPr>
        <w:t>c</w:t>
      </w:r>
      <w:r w:rsidRPr="004467E3">
        <w:rPr>
          <w:rFonts w:eastAsia="Calibri" w:cs="Arial"/>
          <w:spacing w:val="1"/>
          <w:szCs w:val="24"/>
        </w:rPr>
        <w:t>e</w:t>
      </w:r>
      <w:r w:rsidRPr="004467E3">
        <w:rPr>
          <w:rFonts w:eastAsia="Calibri" w:cs="Arial"/>
          <w:szCs w:val="24"/>
        </w:rPr>
        <w:t>ss</w:t>
      </w:r>
      <w:r w:rsidRPr="004467E3">
        <w:rPr>
          <w:rFonts w:eastAsia="Calibri" w:cs="Arial"/>
          <w:spacing w:val="-1"/>
          <w:szCs w:val="24"/>
        </w:rPr>
        <w:t>e</w:t>
      </w:r>
      <w:r w:rsidRPr="004467E3">
        <w:rPr>
          <w:rFonts w:eastAsia="Calibri" w:cs="Arial"/>
          <w:szCs w:val="24"/>
        </w:rPr>
        <w:t>d</w:t>
      </w:r>
      <w:r w:rsidRPr="004467E3">
        <w:rPr>
          <w:rFonts w:eastAsia="Calibri" w:cs="Arial"/>
          <w:spacing w:val="2"/>
          <w:szCs w:val="24"/>
        </w:rPr>
        <w:t xml:space="preserve"> </w:t>
      </w:r>
      <w:r w:rsidRPr="004467E3">
        <w:rPr>
          <w:rFonts w:eastAsia="Calibri" w:cs="Arial"/>
          <w:spacing w:val="1"/>
          <w:szCs w:val="24"/>
        </w:rPr>
        <w:t>a</w:t>
      </w:r>
      <w:r w:rsidRPr="004467E3">
        <w:rPr>
          <w:rFonts w:eastAsia="Calibri" w:cs="Arial"/>
          <w:szCs w:val="24"/>
        </w:rPr>
        <w:t>t</w:t>
      </w:r>
      <w:r w:rsidRPr="004467E3">
        <w:rPr>
          <w:rFonts w:eastAsia="Calibri" w:cs="Arial"/>
          <w:spacing w:val="-1"/>
          <w:szCs w:val="24"/>
        </w:rPr>
        <w:t xml:space="preserve"> </w:t>
      </w:r>
      <w:r w:rsidRPr="004467E3">
        <w:rPr>
          <w:rFonts w:eastAsia="Calibri" w:cs="Arial"/>
          <w:spacing w:val="1"/>
          <w:szCs w:val="24"/>
        </w:rPr>
        <w:t>th</w:t>
      </w:r>
      <w:r w:rsidRPr="004467E3">
        <w:rPr>
          <w:rFonts w:eastAsia="Calibri" w:cs="Arial"/>
          <w:szCs w:val="24"/>
        </w:rPr>
        <w:t>e</w:t>
      </w:r>
      <w:r w:rsidRPr="004467E3">
        <w:rPr>
          <w:rFonts w:eastAsia="Calibri" w:cs="Arial"/>
          <w:spacing w:val="-3"/>
          <w:szCs w:val="24"/>
        </w:rPr>
        <w:t xml:space="preserve"> </w:t>
      </w:r>
      <w:r w:rsidRPr="004467E3">
        <w:rPr>
          <w:rFonts w:eastAsia="Calibri" w:cs="Arial"/>
          <w:spacing w:val="3"/>
          <w:szCs w:val="24"/>
        </w:rPr>
        <w:t>f</w:t>
      </w:r>
      <w:r w:rsidRPr="004467E3">
        <w:rPr>
          <w:rFonts w:eastAsia="Calibri" w:cs="Arial"/>
          <w:spacing w:val="1"/>
          <w:szCs w:val="24"/>
        </w:rPr>
        <w:t>o</w:t>
      </w:r>
      <w:r w:rsidRPr="004467E3">
        <w:rPr>
          <w:rFonts w:eastAsia="Calibri" w:cs="Arial"/>
          <w:spacing w:val="-1"/>
          <w:szCs w:val="24"/>
        </w:rPr>
        <w:t>ll</w:t>
      </w:r>
      <w:r w:rsidRPr="004467E3">
        <w:rPr>
          <w:rFonts w:eastAsia="Calibri" w:cs="Arial"/>
          <w:spacing w:val="1"/>
          <w:szCs w:val="24"/>
        </w:rPr>
        <w:t>o</w:t>
      </w:r>
      <w:r w:rsidRPr="004467E3">
        <w:rPr>
          <w:rFonts w:eastAsia="Calibri" w:cs="Arial"/>
          <w:spacing w:val="-3"/>
          <w:szCs w:val="24"/>
        </w:rPr>
        <w:t>w</w:t>
      </w:r>
      <w:r w:rsidRPr="004467E3">
        <w:rPr>
          <w:rFonts w:eastAsia="Calibri" w:cs="Arial"/>
          <w:spacing w:val="-1"/>
          <w:szCs w:val="24"/>
        </w:rPr>
        <w:t>i</w:t>
      </w:r>
      <w:r w:rsidRPr="004467E3">
        <w:rPr>
          <w:rFonts w:eastAsia="Calibri" w:cs="Arial"/>
          <w:spacing w:val="1"/>
          <w:szCs w:val="24"/>
        </w:rPr>
        <w:t xml:space="preserve">ng </w:t>
      </w:r>
      <w:r w:rsidRPr="004467E3">
        <w:rPr>
          <w:rFonts w:eastAsia="Calibri" w:cs="Arial"/>
          <w:szCs w:val="24"/>
        </w:rPr>
        <w:t>li</w:t>
      </w:r>
      <w:r w:rsidRPr="004467E3">
        <w:rPr>
          <w:rFonts w:eastAsia="Calibri" w:cs="Arial"/>
          <w:spacing w:val="1"/>
          <w:szCs w:val="24"/>
        </w:rPr>
        <w:t>n</w:t>
      </w:r>
      <w:r w:rsidRPr="004467E3">
        <w:rPr>
          <w:rFonts w:eastAsia="Calibri" w:cs="Arial"/>
          <w:szCs w:val="24"/>
        </w:rPr>
        <w:t>k</w:t>
      </w:r>
      <w:r w:rsidRPr="00A11350">
        <w:rPr>
          <w:rFonts w:eastAsia="Calibri" w:cs="Arial"/>
          <w:szCs w:val="24"/>
        </w:rPr>
        <w:t xml:space="preserve">: </w:t>
      </w:r>
      <w:r w:rsidRPr="00A11350">
        <w:rPr>
          <w:rFonts w:eastAsia="Calibri" w:cs="Arial"/>
          <w:color w:val="0000FF"/>
          <w:spacing w:val="-65"/>
          <w:szCs w:val="24"/>
        </w:rPr>
        <w:t xml:space="preserve"> </w:t>
      </w:r>
      <w:hyperlink r:id="rId25" w:tooltip="Acquisition Management Training" w:history="1">
        <w:r w:rsidR="009537CC" w:rsidRPr="00A11350">
          <w:rPr>
            <w:rStyle w:val="Hyperlink"/>
            <w:rFonts w:eastAsia="Calibri" w:cs="Arial"/>
            <w:spacing w:val="-1"/>
            <w:szCs w:val="24"/>
          </w:rPr>
          <w:t>Acquisition Management Training</w:t>
        </w:r>
      </w:hyperlink>
    </w:p>
    <w:p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Federal Acquisition Certification Coursework</w:t>
      </w:r>
    </w:p>
    <w:p w:rsidR="001E18F0" w:rsidRPr="00C0583B" w:rsidRDefault="004C4D13" w:rsidP="00C0583B">
      <w:pPr>
        <w:spacing w:after="120" w:line="240" w:lineRule="auto"/>
        <w:rPr>
          <w:rFonts w:cs="Arial"/>
          <w:szCs w:val="24"/>
        </w:rPr>
      </w:pPr>
      <w:r w:rsidRPr="004467E3">
        <w:rPr>
          <w:rFonts w:cs="Arial"/>
          <w:szCs w:val="24"/>
        </w:rPr>
        <w:t xml:space="preserve">CON courses and other Federal Acquisition Certification required courses can be found at the </w:t>
      </w:r>
      <w:hyperlink r:id="rId26" w:tooltip="NIH Training Center" w:history="1">
        <w:r w:rsidRPr="004467E3">
          <w:rPr>
            <w:rStyle w:val="Hyperlink"/>
            <w:rFonts w:cs="Arial"/>
            <w:szCs w:val="24"/>
          </w:rPr>
          <w:t>NIH Training Center</w:t>
        </w:r>
      </w:hyperlink>
      <w:r w:rsidRPr="004467E3">
        <w:rPr>
          <w:rFonts w:cs="Arial"/>
          <w:szCs w:val="24"/>
        </w:rPr>
        <w:t xml:space="preserve">, </w:t>
      </w:r>
      <w:hyperlink r:id="rId27" w:tooltip="Federal Acquisition Institute" w:history="1">
        <w:r w:rsidRPr="004467E3">
          <w:rPr>
            <w:rStyle w:val="Hyperlink"/>
            <w:rFonts w:cs="Arial"/>
            <w:szCs w:val="24"/>
          </w:rPr>
          <w:t>Federal Acquisition Institute</w:t>
        </w:r>
      </w:hyperlink>
      <w:r w:rsidRPr="004467E3">
        <w:rPr>
          <w:rFonts w:cs="Arial"/>
          <w:szCs w:val="24"/>
        </w:rPr>
        <w:t xml:space="preserve">, and </w:t>
      </w:r>
      <w:hyperlink r:id="rId28" w:tooltip="Defense Acquisition University" w:history="1">
        <w:r w:rsidRPr="004467E3">
          <w:rPr>
            <w:rStyle w:val="Hyperlink"/>
            <w:rFonts w:cs="Arial"/>
            <w:szCs w:val="24"/>
          </w:rPr>
          <w:t>Defense Acquisition University</w:t>
        </w:r>
      </w:hyperlink>
      <w:r w:rsidRPr="004467E3">
        <w:rPr>
          <w:rFonts w:cs="Arial"/>
          <w:szCs w:val="24"/>
        </w:rPr>
        <w:t>.</w:t>
      </w:r>
    </w:p>
    <w:p w:rsidR="004C4D13" w:rsidRPr="00C66CE4" w:rsidRDefault="004C4D13" w:rsidP="00C0583B">
      <w:pPr>
        <w:spacing w:line="240" w:lineRule="auto"/>
        <w:contextualSpacing/>
        <w:rPr>
          <w:rStyle w:val="Strong"/>
          <w:rFonts w:cs="Arial"/>
          <w:sz w:val="28"/>
          <w:szCs w:val="28"/>
        </w:rPr>
      </w:pPr>
      <w:r w:rsidRPr="00C66CE4">
        <w:rPr>
          <w:rStyle w:val="Strong"/>
          <w:rFonts w:cs="Arial"/>
          <w:sz w:val="28"/>
          <w:szCs w:val="28"/>
        </w:rPr>
        <w:t>Section 508 Accessibility Training</w:t>
      </w:r>
    </w:p>
    <w:p w:rsidR="00C66CE4" w:rsidRPr="004467E3" w:rsidRDefault="004C4D13" w:rsidP="00C0583B">
      <w:pPr>
        <w:spacing w:after="120" w:line="240" w:lineRule="auto"/>
        <w:rPr>
          <w:rFonts w:cs="Arial"/>
          <w:szCs w:val="24"/>
        </w:rPr>
      </w:pPr>
      <w:r w:rsidRPr="004467E3">
        <w:rPr>
          <w:rFonts w:cs="Arial"/>
          <w:szCs w:val="24"/>
        </w:rPr>
        <w:t>Section 508 Accessibility Training courses can be accessed at</w:t>
      </w:r>
      <w:bookmarkStart w:id="1" w:name="_Hlk419199521"/>
      <w:r w:rsidRPr="004467E3">
        <w:rPr>
          <w:rFonts w:cs="Arial"/>
          <w:szCs w:val="24"/>
        </w:rPr>
        <w:t xml:space="preserve">: </w:t>
      </w:r>
      <w:hyperlink r:id="rId29" w:tooltip="CIT 508 Training Webpage" w:history="1">
        <w:bookmarkEnd w:id="1"/>
        <w:r w:rsidR="004D1137">
          <w:rPr>
            <w:rStyle w:val="Hyperlink"/>
            <w:rFonts w:cs="Arial"/>
            <w:szCs w:val="24"/>
          </w:rPr>
          <w:t>CIT Section 508 Accessibility Training Website</w:t>
        </w:r>
      </w:hyperlink>
      <w:r w:rsidRPr="004467E3">
        <w:rPr>
          <w:rFonts w:cs="Arial"/>
          <w:szCs w:val="24"/>
        </w:rPr>
        <w:t>.</w:t>
      </w:r>
    </w:p>
    <w:p w:rsidR="004C4D13" w:rsidRPr="00C66CE4" w:rsidRDefault="004C4D13" w:rsidP="00C0583B">
      <w:pPr>
        <w:pStyle w:val="Heading2"/>
        <w:spacing w:before="0" w:line="240" w:lineRule="auto"/>
        <w:rPr>
          <w:rStyle w:val="Strong"/>
          <w:rFonts w:ascii="Arial" w:hAnsi="Arial" w:cs="Arial"/>
          <w:color w:val="000000" w:themeColor="text1"/>
          <w:sz w:val="28"/>
          <w:szCs w:val="28"/>
        </w:rPr>
      </w:pPr>
      <w:r w:rsidRPr="00C66CE4">
        <w:rPr>
          <w:rStyle w:val="Strong"/>
          <w:rFonts w:ascii="Arial" w:hAnsi="Arial" w:cs="Arial"/>
          <w:color w:val="000000" w:themeColor="text1"/>
          <w:sz w:val="28"/>
          <w:szCs w:val="28"/>
        </w:rPr>
        <w:t>Green Purchasing Training</w:t>
      </w:r>
    </w:p>
    <w:p w:rsidR="004C4D13" w:rsidRDefault="004C4D13" w:rsidP="00C0583B">
      <w:pPr>
        <w:spacing w:line="240" w:lineRule="auto"/>
        <w:rPr>
          <w:rFonts w:eastAsia="Calibri" w:cs="Arial"/>
          <w:color w:val="000000" w:themeColor="text1"/>
          <w:szCs w:val="24"/>
        </w:rPr>
      </w:pPr>
      <w:r w:rsidRPr="004467E3">
        <w:rPr>
          <w:rFonts w:eastAsia="Calibri" w:cs="Arial"/>
          <w:color w:val="000000" w:themeColor="text1"/>
          <w:szCs w:val="24"/>
        </w:rPr>
        <w:t xml:space="preserve">Green Purchasing Training and other Green Training courses can be found at: </w:t>
      </w:r>
      <w:hyperlink r:id="rId30" w:tooltip="OALM Green Purchasing Website" w:history="1">
        <w:r w:rsidRPr="004467E3">
          <w:rPr>
            <w:rStyle w:val="Hyperlink"/>
            <w:rFonts w:eastAsia="Calibri" w:cs="Arial"/>
            <w:szCs w:val="24"/>
          </w:rPr>
          <w:t>OALM Green Purchasing Website</w:t>
        </w:r>
      </w:hyperlink>
      <w:r w:rsidRPr="004467E3">
        <w:rPr>
          <w:rFonts w:eastAsia="Calibri" w:cs="Arial"/>
          <w:color w:val="000000" w:themeColor="text1"/>
          <w:szCs w:val="24"/>
        </w:rPr>
        <w:t>.</w:t>
      </w:r>
    </w:p>
    <w:p w:rsidR="00C66CE4" w:rsidRPr="00222AC9" w:rsidRDefault="00C66CE4" w:rsidP="00C0583B">
      <w:pPr>
        <w:spacing w:line="240" w:lineRule="auto"/>
        <w:rPr>
          <w:rFonts w:eastAsia="Calibri" w:cs="Arial"/>
          <w:color w:val="000000" w:themeColor="text1"/>
          <w:szCs w:val="24"/>
        </w:rPr>
      </w:pPr>
    </w:p>
    <w:p w:rsidR="004C4D13" w:rsidRDefault="004C4D13" w:rsidP="00C0583B">
      <w:pPr>
        <w:pStyle w:val="Heading1"/>
        <w:spacing w:before="0" w:line="240" w:lineRule="auto"/>
        <w:rPr>
          <w:rFonts w:cs="Arial"/>
          <w:color w:val="000000" w:themeColor="text1"/>
          <w:szCs w:val="32"/>
        </w:rPr>
      </w:pPr>
      <w:r w:rsidRPr="004C4D13">
        <w:rPr>
          <w:rFonts w:cs="Arial"/>
          <w:color w:val="000000" w:themeColor="text1"/>
          <w:szCs w:val="32"/>
        </w:rPr>
        <w:t>NIH Blanket Purchase Agreement (BPA) Lists Available Online</w:t>
      </w:r>
    </w:p>
    <w:p w:rsidR="00C66CE4" w:rsidRDefault="00C66CE4" w:rsidP="00C0583B">
      <w:pPr>
        <w:spacing w:line="240" w:lineRule="auto"/>
        <w:rPr>
          <w:rFonts w:eastAsia="Calibri" w:cs="Arial"/>
          <w:szCs w:val="24"/>
        </w:rPr>
      </w:pPr>
    </w:p>
    <w:p w:rsidR="004E6C0D" w:rsidRPr="004467E3" w:rsidRDefault="004C4D13" w:rsidP="00C0583B">
      <w:pPr>
        <w:spacing w:after="120" w:line="240" w:lineRule="auto"/>
        <w:rPr>
          <w:rFonts w:eastAsia="Calibri" w:cs="Arial"/>
          <w:szCs w:val="24"/>
        </w:rPr>
      </w:pPr>
      <w:r w:rsidRPr="004467E3">
        <w:rPr>
          <w:rFonts w:eastAsia="Calibri" w:cs="Arial"/>
          <w:szCs w:val="24"/>
        </w:rPr>
        <w:t xml:space="preserve">Lists of all NIH Blanket Purchase Agreements (BPAs) can be found at the NIH Blanket Purchase Agreement </w:t>
      </w:r>
      <w:hyperlink r:id="rId31" w:tooltip="NIH Blanket Purchase Agreement webpage" w:history="1">
        <w:r w:rsidRPr="004467E3">
          <w:rPr>
            <w:rFonts w:eastAsia="Calibri" w:cs="Arial"/>
            <w:color w:val="0563C1" w:themeColor="hyperlink"/>
            <w:szCs w:val="24"/>
            <w:u w:val="single"/>
          </w:rPr>
          <w:t>webpage</w:t>
        </w:r>
      </w:hyperlink>
      <w:r w:rsidRPr="004467E3">
        <w:rPr>
          <w:rFonts w:eastAsia="Calibri" w:cs="Arial"/>
          <w:szCs w:val="24"/>
        </w:rPr>
        <w:t>.</w:t>
      </w:r>
    </w:p>
    <w:p w:rsidR="004E6C0D" w:rsidRPr="004467E3" w:rsidRDefault="004C4D13" w:rsidP="00C0583B">
      <w:pPr>
        <w:spacing w:after="120" w:line="240" w:lineRule="auto"/>
        <w:rPr>
          <w:rFonts w:eastAsia="Calibri" w:cs="Arial"/>
          <w:szCs w:val="24"/>
        </w:rPr>
      </w:pPr>
      <w:r w:rsidRPr="004467E3">
        <w:rPr>
          <w:rFonts w:eastAsia="Calibri" w:cs="Arial"/>
          <w:szCs w:val="24"/>
        </w:rPr>
        <w:t>This location contains Two BPA Lists:</w:t>
      </w:r>
    </w:p>
    <w:p w:rsidR="004C4D13" w:rsidRPr="004467E3" w:rsidRDefault="004C4D13" w:rsidP="00C0583B">
      <w:pPr>
        <w:spacing w:line="240" w:lineRule="auto"/>
        <w:ind w:left="450"/>
        <w:rPr>
          <w:rFonts w:eastAsia="Calibri" w:cs="Arial"/>
          <w:szCs w:val="24"/>
        </w:rPr>
      </w:pPr>
      <w:r w:rsidRPr="004467E3">
        <w:rPr>
          <w:rFonts w:eastAsia="Calibri" w:cs="Arial"/>
          <w:szCs w:val="24"/>
        </w:rPr>
        <w:t>1.  Complete vendor alphabetical list;</w:t>
      </w:r>
    </w:p>
    <w:p w:rsidR="001E18F0" w:rsidRDefault="004C4D13" w:rsidP="00C0583B">
      <w:pPr>
        <w:spacing w:after="120" w:line="240" w:lineRule="auto"/>
        <w:ind w:left="446"/>
        <w:rPr>
          <w:rFonts w:eastAsia="Calibri" w:cs="Arial"/>
          <w:szCs w:val="24"/>
        </w:rPr>
      </w:pPr>
      <w:r w:rsidRPr="004467E3">
        <w:rPr>
          <w:rFonts w:eastAsia="Calibri" w:cs="Arial"/>
          <w:szCs w:val="24"/>
        </w:rPr>
        <w:t>2.  Vendor list sorted by commodity; and</w:t>
      </w:r>
    </w:p>
    <w:p w:rsidR="00CB0566" w:rsidRDefault="004C4D13" w:rsidP="00C0583B">
      <w:pPr>
        <w:spacing w:line="240" w:lineRule="auto"/>
        <w:rPr>
          <w:rFonts w:eastAsia="Calibri" w:cs="Arial"/>
          <w:szCs w:val="24"/>
        </w:rPr>
      </w:pPr>
      <w:r w:rsidRPr="004467E3">
        <w:rPr>
          <w:rFonts w:eastAsia="Calibri" w:cs="Arial"/>
          <w:szCs w:val="24"/>
        </w:rPr>
        <w:t xml:space="preserve">If you have any questions or need further clarification, please contact the BPA helpline at 301-496-5212 or </w:t>
      </w:r>
      <w:hyperlink r:id="rId32" w:tooltip="BPA Program Helpdesk email" w:history="1">
        <w:r w:rsidRPr="004467E3">
          <w:rPr>
            <w:rFonts w:eastAsia="Calibri" w:cs="Arial"/>
            <w:color w:val="0563C1" w:themeColor="hyperlink"/>
            <w:szCs w:val="24"/>
            <w:u w:val="single"/>
          </w:rPr>
          <w:t>email</w:t>
        </w:r>
      </w:hyperlink>
      <w:r w:rsidRPr="004467E3">
        <w:rPr>
          <w:rFonts w:eastAsia="Calibri" w:cs="Arial"/>
          <w:szCs w:val="24"/>
        </w:rPr>
        <w:t>.</w:t>
      </w:r>
    </w:p>
    <w:p w:rsidR="00CB0566" w:rsidRDefault="00CB0566" w:rsidP="00CB0566">
      <w:r>
        <w:br w:type="page"/>
      </w:r>
    </w:p>
    <w:p w:rsidR="00C66CE4" w:rsidRPr="00286159" w:rsidRDefault="00C66CE4" w:rsidP="00C0583B">
      <w:pPr>
        <w:spacing w:line="240" w:lineRule="auto"/>
        <w:rPr>
          <w:rStyle w:val="Strong"/>
          <w:rFonts w:cs="Arial"/>
          <w:sz w:val="32"/>
          <w:szCs w:val="32"/>
        </w:rPr>
      </w:pPr>
    </w:p>
    <w:p w:rsidR="00C801C6" w:rsidRDefault="00C801C6" w:rsidP="00C0583B">
      <w:pPr>
        <w:spacing w:after="120" w:line="240" w:lineRule="auto"/>
        <w:jc w:val="center"/>
        <w:rPr>
          <w:rStyle w:val="Strong"/>
          <w:rFonts w:cs="Arial"/>
          <w:sz w:val="32"/>
          <w:szCs w:val="32"/>
        </w:rPr>
      </w:pPr>
      <w:r>
        <w:rPr>
          <w:rStyle w:val="Strong"/>
          <w:rFonts w:cs="Arial"/>
          <w:sz w:val="32"/>
          <w:szCs w:val="32"/>
        </w:rPr>
        <w:t>THANKS!</w:t>
      </w:r>
    </w:p>
    <w:p w:rsidR="004467E3" w:rsidRPr="00C0583B" w:rsidRDefault="00C801C6" w:rsidP="00C0583B">
      <w:pPr>
        <w:spacing w:after="120" w:line="240" w:lineRule="auto"/>
        <w:rPr>
          <w:rFonts w:cs="Arial"/>
          <w:bCs/>
          <w:szCs w:val="24"/>
        </w:rPr>
      </w:pPr>
      <w:r w:rsidRPr="00C801C6">
        <w:rPr>
          <w:rStyle w:val="Strong"/>
          <w:rFonts w:cs="Arial"/>
          <w:b w:val="0"/>
          <w:szCs w:val="24"/>
        </w:rPr>
        <w:t xml:space="preserve">We </w:t>
      </w:r>
      <w:r w:rsidR="003B34FC">
        <w:rPr>
          <w:rStyle w:val="Strong"/>
          <w:rFonts w:cs="Arial"/>
          <w:b w:val="0"/>
          <w:szCs w:val="24"/>
        </w:rPr>
        <w:t>w</w:t>
      </w:r>
      <w:r w:rsidRPr="00C801C6">
        <w:rPr>
          <w:rStyle w:val="Strong"/>
          <w:rFonts w:cs="Arial"/>
          <w:b w:val="0"/>
          <w:szCs w:val="24"/>
        </w:rPr>
        <w:t>ou</w:t>
      </w:r>
      <w:r w:rsidR="003B34FC" w:rsidRPr="00C801C6">
        <w:rPr>
          <w:rStyle w:val="Strong"/>
          <w:rFonts w:cs="Arial"/>
          <w:b w:val="0"/>
          <w:szCs w:val="24"/>
        </w:rPr>
        <w:t xml:space="preserve">ld like to thank all those who contributed to this and future editions of the </w:t>
      </w:r>
      <w:r w:rsidRPr="00C801C6">
        <w:rPr>
          <w:rStyle w:val="Strong"/>
          <w:rFonts w:cs="Arial"/>
          <w:b w:val="0"/>
          <w:szCs w:val="24"/>
        </w:rPr>
        <w:t>OALM Newsletter.</w:t>
      </w:r>
    </w:p>
    <w:p w:rsidR="00B731C5" w:rsidRPr="004467E3" w:rsidRDefault="004C4D13" w:rsidP="00C0583B">
      <w:pPr>
        <w:spacing w:after="120" w:line="240" w:lineRule="auto"/>
        <w:rPr>
          <w:rFonts w:eastAsia="Calibri" w:cs="Arial"/>
          <w:szCs w:val="24"/>
        </w:rPr>
      </w:pPr>
      <w:r w:rsidRPr="004467E3">
        <w:rPr>
          <w:rFonts w:eastAsia="Calibri" w:cs="Arial"/>
          <w:szCs w:val="24"/>
        </w:rPr>
        <w:t>The OALM Newsletter will be published six (6) times in calendar year 201</w:t>
      </w:r>
      <w:r w:rsidR="00C801C6">
        <w:rPr>
          <w:rFonts w:eastAsia="Calibri" w:cs="Arial"/>
          <w:szCs w:val="24"/>
        </w:rPr>
        <w:t>8</w:t>
      </w:r>
      <w:r w:rsidRPr="004467E3">
        <w:rPr>
          <w:rFonts w:eastAsia="Calibri" w:cs="Arial"/>
          <w:szCs w:val="24"/>
        </w:rPr>
        <w:t>. We encourage staff to submit articles that would be of interest to our readers. We will do our best to include such articles in future editions of the OALM Newsletter.</w:t>
      </w:r>
    </w:p>
    <w:p w:rsidR="002F1801" w:rsidRPr="00C0583B" w:rsidRDefault="004C4D13" w:rsidP="00C0583B">
      <w:pPr>
        <w:spacing w:after="120" w:line="240" w:lineRule="auto"/>
        <w:rPr>
          <w:rFonts w:eastAsia="Calibri" w:cs="Arial"/>
          <w:color w:val="0000FF"/>
          <w:position w:val="-1"/>
          <w:szCs w:val="24"/>
        </w:rPr>
      </w:pPr>
      <w:r w:rsidRPr="004467E3">
        <w:rPr>
          <w:rFonts w:eastAsia="Calibri" w:cs="Arial"/>
          <w:szCs w:val="24"/>
        </w:rPr>
        <w:t>P</w:t>
      </w:r>
      <w:r w:rsidRPr="004467E3">
        <w:rPr>
          <w:rFonts w:eastAsia="Calibri" w:cs="Arial"/>
          <w:spacing w:val="-1"/>
          <w:szCs w:val="24"/>
        </w:rPr>
        <w:t>l</w:t>
      </w:r>
      <w:r w:rsidRPr="004467E3">
        <w:rPr>
          <w:rFonts w:eastAsia="Calibri" w:cs="Arial"/>
          <w:szCs w:val="24"/>
        </w:rPr>
        <w:t>ease</w:t>
      </w:r>
      <w:r w:rsidRPr="004467E3">
        <w:rPr>
          <w:rFonts w:eastAsia="Calibri" w:cs="Arial"/>
          <w:spacing w:val="-1"/>
          <w:szCs w:val="24"/>
        </w:rPr>
        <w:t xml:space="preserve"> </w:t>
      </w:r>
      <w:r w:rsidRPr="004467E3">
        <w:rPr>
          <w:rFonts w:eastAsia="Calibri" w:cs="Arial"/>
          <w:szCs w:val="24"/>
        </w:rPr>
        <w:t>a</w:t>
      </w:r>
      <w:r w:rsidRPr="004467E3">
        <w:rPr>
          <w:rFonts w:eastAsia="Calibri" w:cs="Arial"/>
          <w:spacing w:val="-2"/>
          <w:szCs w:val="24"/>
        </w:rPr>
        <w:t>d</w:t>
      </w:r>
      <w:r w:rsidRPr="004467E3">
        <w:rPr>
          <w:rFonts w:eastAsia="Calibri" w:cs="Arial"/>
          <w:szCs w:val="24"/>
        </w:rPr>
        <w:t>d</w:t>
      </w:r>
      <w:r w:rsidRPr="004467E3">
        <w:rPr>
          <w:rFonts w:eastAsia="Calibri" w:cs="Arial"/>
          <w:spacing w:val="-1"/>
          <w:szCs w:val="24"/>
        </w:rPr>
        <w:t>r</w:t>
      </w:r>
      <w:r w:rsidRPr="004467E3">
        <w:rPr>
          <w:rFonts w:eastAsia="Calibri" w:cs="Arial"/>
          <w:szCs w:val="24"/>
        </w:rPr>
        <w:t>ess a</w:t>
      </w:r>
      <w:r w:rsidRPr="004467E3">
        <w:rPr>
          <w:rFonts w:eastAsia="Calibri" w:cs="Arial"/>
          <w:spacing w:val="-1"/>
          <w:szCs w:val="24"/>
        </w:rPr>
        <w:t>l</w:t>
      </w:r>
      <w:r w:rsidRPr="004467E3">
        <w:rPr>
          <w:rFonts w:eastAsia="Calibri" w:cs="Arial"/>
          <w:szCs w:val="24"/>
        </w:rPr>
        <w:t>l co</w:t>
      </w:r>
      <w:r w:rsidRPr="004467E3">
        <w:rPr>
          <w:rFonts w:eastAsia="Calibri" w:cs="Arial"/>
          <w:spacing w:val="-1"/>
          <w:szCs w:val="24"/>
        </w:rPr>
        <w:t>r</w:t>
      </w:r>
      <w:r w:rsidRPr="004467E3">
        <w:rPr>
          <w:rFonts w:eastAsia="Calibri" w:cs="Arial"/>
          <w:spacing w:val="-3"/>
          <w:szCs w:val="24"/>
        </w:rPr>
        <w:t>r</w:t>
      </w:r>
      <w:r w:rsidRPr="004467E3">
        <w:rPr>
          <w:rFonts w:eastAsia="Calibri" w:cs="Arial"/>
          <w:szCs w:val="24"/>
        </w:rPr>
        <w:t>esp</w:t>
      </w:r>
      <w:r w:rsidRPr="004467E3">
        <w:rPr>
          <w:rFonts w:eastAsia="Calibri" w:cs="Arial"/>
          <w:spacing w:val="-2"/>
          <w:szCs w:val="24"/>
        </w:rPr>
        <w:t>o</w:t>
      </w:r>
      <w:r w:rsidRPr="004467E3">
        <w:rPr>
          <w:rFonts w:eastAsia="Calibri" w:cs="Arial"/>
          <w:szCs w:val="24"/>
        </w:rPr>
        <w:t>nd</w:t>
      </w:r>
      <w:r w:rsidRPr="004467E3">
        <w:rPr>
          <w:rFonts w:eastAsia="Calibri" w:cs="Arial"/>
          <w:spacing w:val="-2"/>
          <w:szCs w:val="24"/>
        </w:rPr>
        <w:t>e</w:t>
      </w:r>
      <w:r w:rsidRPr="004467E3">
        <w:rPr>
          <w:rFonts w:eastAsia="Calibri" w:cs="Arial"/>
          <w:szCs w:val="24"/>
        </w:rPr>
        <w:t>nce</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o</w:t>
      </w:r>
      <w:r w:rsidRPr="004467E3">
        <w:rPr>
          <w:rFonts w:eastAsia="Calibri" w:cs="Arial"/>
          <w:spacing w:val="2"/>
          <w:szCs w:val="24"/>
        </w:rPr>
        <w:t xml:space="preserve"> </w:t>
      </w:r>
      <w:r w:rsidRPr="004467E3">
        <w:rPr>
          <w:rFonts w:eastAsia="Calibri" w:cs="Arial"/>
          <w:spacing w:val="-2"/>
          <w:szCs w:val="24"/>
        </w:rPr>
        <w:t>t</w:t>
      </w:r>
      <w:r w:rsidRPr="004467E3">
        <w:rPr>
          <w:rFonts w:eastAsia="Calibri" w:cs="Arial"/>
          <w:szCs w:val="24"/>
        </w:rPr>
        <w:t>he</w:t>
      </w:r>
      <w:r w:rsidRPr="004467E3">
        <w:rPr>
          <w:rFonts w:eastAsia="Calibri" w:cs="Arial"/>
          <w:spacing w:val="-1"/>
          <w:szCs w:val="24"/>
        </w:rPr>
        <w:t xml:space="preserve"> </w:t>
      </w:r>
      <w:r w:rsidRPr="004467E3">
        <w:rPr>
          <w:rFonts w:eastAsia="Calibri" w:cs="Arial"/>
          <w:szCs w:val="24"/>
        </w:rPr>
        <w:t>ed</w:t>
      </w:r>
      <w:r w:rsidRPr="004467E3">
        <w:rPr>
          <w:rFonts w:eastAsia="Calibri" w:cs="Arial"/>
          <w:spacing w:val="-1"/>
          <w:szCs w:val="24"/>
        </w:rPr>
        <w:t>i</w:t>
      </w:r>
      <w:r w:rsidRPr="004467E3">
        <w:rPr>
          <w:rFonts w:eastAsia="Calibri" w:cs="Arial"/>
          <w:spacing w:val="-2"/>
          <w:szCs w:val="24"/>
        </w:rPr>
        <w:t>t</w:t>
      </w:r>
      <w:r w:rsidRPr="004467E3">
        <w:rPr>
          <w:rFonts w:eastAsia="Calibri" w:cs="Arial"/>
          <w:szCs w:val="24"/>
        </w:rPr>
        <w:t>o</w:t>
      </w:r>
      <w:r w:rsidRPr="004467E3">
        <w:rPr>
          <w:rFonts w:eastAsia="Calibri" w:cs="Arial"/>
          <w:spacing w:val="-1"/>
          <w:szCs w:val="24"/>
        </w:rPr>
        <w:t>r</w:t>
      </w:r>
      <w:r w:rsidRPr="004467E3">
        <w:rPr>
          <w:rFonts w:eastAsia="Calibri" w:cs="Arial"/>
          <w:szCs w:val="24"/>
        </w:rPr>
        <w:t>s:</w:t>
      </w:r>
      <w:r w:rsidR="00124656">
        <w:rPr>
          <w:rFonts w:eastAsia="Calibri" w:cs="Arial"/>
          <w:szCs w:val="24"/>
        </w:rPr>
        <w:t xml:space="preserve"> </w:t>
      </w:r>
      <w:r w:rsidRPr="004467E3">
        <w:rPr>
          <w:rFonts w:eastAsia="Calibri" w:cs="Arial"/>
          <w:spacing w:val="-1"/>
          <w:szCs w:val="24"/>
        </w:rPr>
        <w:t>Mil</w:t>
      </w:r>
      <w:r w:rsidRPr="004467E3">
        <w:rPr>
          <w:rFonts w:eastAsia="Calibri" w:cs="Arial"/>
          <w:szCs w:val="24"/>
        </w:rPr>
        <w:t xml:space="preserve">ton Nicholas,  </w:t>
      </w:r>
      <w:hyperlink r:id="rId33" w:tooltip="NicholaM@od.nih.gov" w:history="1">
        <w:r w:rsidRPr="009537CC">
          <w:rPr>
            <w:rStyle w:val="Hyperlink"/>
            <w:rFonts w:eastAsia="Calibri" w:cs="Arial"/>
            <w:spacing w:val="-1"/>
            <w:szCs w:val="24"/>
            <w:u w:color="0000FF"/>
          </w:rPr>
          <w:t>Ni</w:t>
        </w:r>
        <w:r w:rsidRPr="009537CC">
          <w:rPr>
            <w:rStyle w:val="Hyperlink"/>
            <w:rFonts w:eastAsia="Calibri" w:cs="Arial"/>
            <w:szCs w:val="24"/>
            <w:u w:color="0000FF"/>
          </w:rPr>
          <w:t>cho</w:t>
        </w:r>
        <w:r w:rsidRPr="009537CC">
          <w:rPr>
            <w:rStyle w:val="Hyperlink"/>
            <w:rFonts w:eastAsia="Calibri" w:cs="Arial"/>
            <w:spacing w:val="-1"/>
            <w:szCs w:val="24"/>
            <w:u w:color="0000FF"/>
          </w:rPr>
          <w:t>l</w:t>
        </w:r>
        <w:r w:rsidRPr="009537CC">
          <w:rPr>
            <w:rStyle w:val="Hyperlink"/>
            <w:rFonts w:eastAsia="Calibri" w:cs="Arial"/>
            <w:szCs w:val="24"/>
            <w:u w:color="0000FF"/>
          </w:rPr>
          <w:t>a</w:t>
        </w:r>
        <w:r w:rsidRPr="009537CC">
          <w:rPr>
            <w:rStyle w:val="Hyperlink"/>
            <w:rFonts w:eastAsia="Calibri" w:cs="Arial"/>
            <w:spacing w:val="-1"/>
            <w:szCs w:val="24"/>
            <w:u w:color="0000FF"/>
          </w:rPr>
          <w:t>M</w:t>
        </w:r>
        <w:r w:rsidRPr="009537CC">
          <w:rPr>
            <w:rStyle w:val="Hyperlink"/>
            <w:rFonts w:eastAsia="Calibri" w:cs="Arial"/>
            <w:szCs w:val="24"/>
            <w:u w:color="0000FF"/>
          </w:rPr>
          <w:t>@</w:t>
        </w:r>
        <w:r w:rsidRPr="009537CC">
          <w:rPr>
            <w:rStyle w:val="Hyperlink"/>
            <w:rFonts w:eastAsia="Calibri" w:cs="Arial"/>
            <w:spacing w:val="-1"/>
            <w:szCs w:val="24"/>
            <w:u w:color="0000FF"/>
          </w:rPr>
          <w:t>o</w:t>
        </w:r>
        <w:r w:rsidRPr="009537CC">
          <w:rPr>
            <w:rStyle w:val="Hyperlink"/>
            <w:rFonts w:eastAsia="Calibri" w:cs="Arial"/>
            <w:szCs w:val="24"/>
            <w:u w:color="0000FF"/>
          </w:rPr>
          <w:t>d.n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hyperlink>
        <w:r w:rsidRPr="004467E3">
          <w:rPr>
            <w:rFonts w:eastAsia="Calibri" w:cs="Arial"/>
            <w:color w:val="000000"/>
            <w:szCs w:val="24"/>
          </w:rPr>
          <w:t>, A</w:t>
        </w:r>
        <w:r w:rsidRPr="004467E3">
          <w:rPr>
            <w:rFonts w:eastAsia="Calibri" w:cs="Arial"/>
            <w:color w:val="000000"/>
            <w:spacing w:val="-1"/>
            <w:szCs w:val="24"/>
          </w:rPr>
          <w:t>n</w:t>
        </w:r>
        <w:r w:rsidRPr="004467E3">
          <w:rPr>
            <w:rFonts w:eastAsia="Calibri" w:cs="Arial"/>
            <w:color w:val="000000"/>
            <w:szCs w:val="24"/>
          </w:rPr>
          <w:t>net</w:t>
        </w:r>
        <w:r w:rsidRPr="004467E3">
          <w:rPr>
            <w:rFonts w:eastAsia="Calibri" w:cs="Arial"/>
            <w:color w:val="000000"/>
            <w:spacing w:val="-2"/>
            <w:szCs w:val="24"/>
          </w:rPr>
          <w:t>t</w:t>
        </w:r>
        <w:r w:rsidRPr="004467E3">
          <w:rPr>
            <w:rFonts w:eastAsia="Calibri" w:cs="Arial"/>
            <w:color w:val="000000"/>
            <w:szCs w:val="24"/>
          </w:rPr>
          <w:t>e</w:t>
        </w:r>
        <w:r w:rsidRPr="004467E3">
          <w:rPr>
            <w:rFonts w:eastAsia="Calibri" w:cs="Arial"/>
            <w:color w:val="000000"/>
            <w:spacing w:val="2"/>
            <w:szCs w:val="24"/>
          </w:rPr>
          <w:t xml:space="preserve"> </w:t>
        </w:r>
        <w:r w:rsidRPr="004467E3">
          <w:rPr>
            <w:rFonts w:eastAsia="Calibri" w:cs="Arial"/>
            <w:color w:val="000000"/>
            <w:spacing w:val="-1"/>
            <w:szCs w:val="24"/>
          </w:rPr>
          <w:t>Ro</w:t>
        </w:r>
        <w:r w:rsidRPr="004467E3">
          <w:rPr>
            <w:rFonts w:eastAsia="Calibri" w:cs="Arial"/>
            <w:color w:val="000000"/>
            <w:spacing w:val="2"/>
            <w:szCs w:val="24"/>
          </w:rPr>
          <w:t>m</w:t>
        </w:r>
        <w:r w:rsidRPr="004467E3">
          <w:rPr>
            <w:rFonts w:eastAsia="Calibri" w:cs="Arial"/>
            <w:color w:val="000000"/>
            <w:szCs w:val="24"/>
          </w:rPr>
          <w:t>a</w:t>
        </w:r>
        <w:r w:rsidRPr="004467E3">
          <w:rPr>
            <w:rFonts w:eastAsia="Calibri" w:cs="Arial"/>
            <w:color w:val="000000"/>
            <w:spacing w:val="-2"/>
            <w:szCs w:val="24"/>
          </w:rPr>
          <w:t>n</w:t>
        </w:r>
        <w:r w:rsidRPr="004467E3">
          <w:rPr>
            <w:rFonts w:eastAsia="Calibri" w:cs="Arial"/>
            <w:color w:val="000000"/>
            <w:szCs w:val="24"/>
          </w:rPr>
          <w:t xml:space="preserve">esk, </w:t>
        </w:r>
      </w:hyperlink>
      <w:hyperlink r:id="rId34" w:tooltip="RomanesA@od.nih.gov" w:history="1">
        <w:r w:rsidRPr="009537CC">
          <w:rPr>
            <w:rStyle w:val="Hyperlink"/>
            <w:rFonts w:eastAsia="Calibri" w:cs="Arial"/>
            <w:spacing w:val="-1"/>
            <w:szCs w:val="24"/>
          </w:rPr>
          <w:t>R</w:t>
        </w:r>
        <w:r w:rsidRPr="009537CC">
          <w:rPr>
            <w:rStyle w:val="Hyperlink"/>
            <w:rFonts w:eastAsia="Calibri" w:cs="Arial"/>
            <w:szCs w:val="24"/>
          </w:rPr>
          <w:t>o</w:t>
        </w:r>
        <w:r w:rsidRPr="009537CC">
          <w:rPr>
            <w:rStyle w:val="Hyperlink"/>
            <w:rFonts w:eastAsia="Calibri" w:cs="Arial"/>
            <w:spacing w:val="2"/>
            <w:szCs w:val="24"/>
          </w:rPr>
          <w:t>m</w:t>
        </w:r>
        <w:r w:rsidRPr="009537CC">
          <w:rPr>
            <w:rStyle w:val="Hyperlink"/>
            <w:rFonts w:eastAsia="Calibri" w:cs="Arial"/>
            <w:spacing w:val="-1"/>
            <w:szCs w:val="24"/>
          </w:rPr>
          <w:t>a</w:t>
        </w:r>
        <w:r w:rsidRPr="009537CC">
          <w:rPr>
            <w:rStyle w:val="Hyperlink"/>
            <w:rFonts w:eastAsia="Calibri" w:cs="Arial"/>
            <w:szCs w:val="24"/>
          </w:rPr>
          <w:t>ne</w:t>
        </w:r>
        <w:r w:rsidRPr="009537CC">
          <w:rPr>
            <w:rStyle w:val="Hyperlink"/>
            <w:rFonts w:eastAsia="Calibri" w:cs="Arial"/>
            <w:spacing w:val="-2"/>
            <w:szCs w:val="24"/>
          </w:rPr>
          <w:t>s</w:t>
        </w:r>
        <w:r w:rsidRPr="009537CC">
          <w:rPr>
            <w:rStyle w:val="Hyperlink"/>
            <w:rFonts w:eastAsia="Calibri" w:cs="Arial"/>
            <w:szCs w:val="24"/>
          </w:rPr>
          <w:t>A</w:t>
        </w:r>
        <w:r w:rsidRPr="009537CC">
          <w:rPr>
            <w:rStyle w:val="Hyperlink"/>
            <w:rFonts w:eastAsia="Calibri" w:cs="Arial"/>
            <w:spacing w:val="-1"/>
            <w:szCs w:val="24"/>
          </w:rPr>
          <w:t>@</w:t>
        </w:r>
        <w:r w:rsidRPr="009537CC">
          <w:rPr>
            <w:rStyle w:val="Hyperlink"/>
            <w:rFonts w:eastAsia="Calibri" w:cs="Arial"/>
            <w:szCs w:val="24"/>
          </w:rPr>
          <w:t>od.n</w:t>
        </w:r>
        <w:r w:rsidRPr="009537CC">
          <w:rPr>
            <w:rStyle w:val="Hyperlink"/>
            <w:rFonts w:eastAsia="Calibri" w:cs="Arial"/>
            <w:spacing w:val="-3"/>
            <w:szCs w:val="24"/>
          </w:rPr>
          <w:t>i</w:t>
        </w:r>
        <w:r w:rsidRPr="009537CC">
          <w:rPr>
            <w:rStyle w:val="Hyperlink"/>
            <w:rFonts w:eastAsia="Calibri" w:cs="Arial"/>
            <w:szCs w:val="24"/>
          </w:rPr>
          <w:t>h.</w:t>
        </w:r>
        <w:r w:rsidRPr="009537CC">
          <w:rPr>
            <w:rStyle w:val="Hyperlink"/>
            <w:rFonts w:eastAsia="Calibri" w:cs="Arial"/>
            <w:spacing w:val="-1"/>
            <w:szCs w:val="24"/>
          </w:rPr>
          <w:t>g</w:t>
        </w:r>
        <w:r w:rsidRPr="009537CC">
          <w:rPr>
            <w:rStyle w:val="Hyperlink"/>
            <w:rFonts w:eastAsia="Calibri" w:cs="Arial"/>
            <w:szCs w:val="24"/>
          </w:rPr>
          <w:t>o</w:t>
        </w:r>
        <w:r w:rsidRPr="009537CC">
          <w:rPr>
            <w:rStyle w:val="Hyperlink"/>
            <w:rFonts w:eastAsia="Calibri" w:cs="Arial"/>
            <w:spacing w:val="-2"/>
            <w:szCs w:val="24"/>
          </w:rPr>
          <w:t>v</w:t>
        </w:r>
      </w:hyperlink>
      <w:hyperlink>
        <w:r w:rsidRPr="004467E3">
          <w:rPr>
            <w:rFonts w:eastAsia="Calibri" w:cs="Arial"/>
            <w:color w:val="000000"/>
            <w:szCs w:val="24"/>
          </w:rPr>
          <w:t xml:space="preserve">, </w:t>
        </w:r>
        <w:r w:rsidRPr="004467E3">
          <w:rPr>
            <w:rFonts w:eastAsia="Calibri" w:cs="Arial"/>
            <w:color w:val="000000"/>
            <w:spacing w:val="-1"/>
            <w:szCs w:val="24"/>
          </w:rPr>
          <w:t>Mi</w:t>
        </w:r>
        <w:r w:rsidRPr="004467E3">
          <w:rPr>
            <w:rFonts w:eastAsia="Calibri" w:cs="Arial"/>
            <w:color w:val="000000"/>
            <w:szCs w:val="24"/>
          </w:rPr>
          <w:t>che</w:t>
        </w:r>
        <w:r w:rsidRPr="004467E3">
          <w:rPr>
            <w:rFonts w:eastAsia="Calibri" w:cs="Arial"/>
            <w:color w:val="000000"/>
            <w:spacing w:val="-1"/>
            <w:szCs w:val="24"/>
          </w:rPr>
          <w:t>l</w:t>
        </w:r>
        <w:r w:rsidRPr="004467E3">
          <w:rPr>
            <w:rFonts w:eastAsia="Calibri" w:cs="Arial"/>
            <w:color w:val="000000"/>
            <w:szCs w:val="24"/>
          </w:rPr>
          <w:t>e</w:t>
        </w:r>
      </w:hyperlink>
      <w:r w:rsidRPr="004467E3">
        <w:rPr>
          <w:rFonts w:eastAsia="Calibri" w:cs="Arial"/>
          <w:color w:val="000000"/>
          <w:szCs w:val="24"/>
        </w:rPr>
        <w:t xml:space="preserve"> </w:t>
      </w:r>
      <w:r w:rsidRPr="004467E3">
        <w:rPr>
          <w:rFonts w:eastAsia="Calibri" w:cs="Arial"/>
          <w:spacing w:val="-1"/>
          <w:szCs w:val="24"/>
        </w:rPr>
        <w:t>M</w:t>
      </w:r>
      <w:r w:rsidRPr="004467E3">
        <w:rPr>
          <w:rFonts w:eastAsia="Calibri" w:cs="Arial"/>
          <w:szCs w:val="24"/>
        </w:rPr>
        <w:t>c</w:t>
      </w:r>
      <w:r w:rsidRPr="004467E3">
        <w:rPr>
          <w:rFonts w:eastAsia="Calibri" w:cs="Arial"/>
          <w:spacing w:val="-1"/>
          <w:szCs w:val="24"/>
        </w:rPr>
        <w:t>D</w:t>
      </w:r>
      <w:r w:rsidRPr="004467E3">
        <w:rPr>
          <w:rFonts w:eastAsia="Calibri" w:cs="Arial"/>
          <w:szCs w:val="24"/>
        </w:rPr>
        <w:t>e</w:t>
      </w:r>
      <w:r w:rsidRPr="004467E3">
        <w:rPr>
          <w:rFonts w:eastAsia="Calibri" w:cs="Arial"/>
          <w:spacing w:val="-1"/>
          <w:szCs w:val="24"/>
        </w:rPr>
        <w:t>r</w:t>
      </w:r>
      <w:r w:rsidRPr="004467E3">
        <w:rPr>
          <w:rFonts w:eastAsia="Calibri" w:cs="Arial"/>
          <w:spacing w:val="2"/>
          <w:szCs w:val="24"/>
        </w:rPr>
        <w:t>m</w:t>
      </w:r>
      <w:r w:rsidRPr="004467E3">
        <w:rPr>
          <w:rFonts w:eastAsia="Calibri" w:cs="Arial"/>
          <w:szCs w:val="24"/>
        </w:rPr>
        <w:t xml:space="preserve">ott, </w:t>
      </w:r>
      <w:hyperlink r:id="rId35" w:tooltip="McDermottMl@od.nih.gov" w:history="1">
        <w:r w:rsidRPr="009537CC">
          <w:rPr>
            <w:rStyle w:val="Hyperlink"/>
            <w:rFonts w:eastAsia="Calibri" w:cs="Arial"/>
            <w:spacing w:val="-1"/>
            <w:szCs w:val="24"/>
            <w:u w:color="0000FF"/>
          </w:rPr>
          <w:t>M</w:t>
        </w:r>
        <w:r w:rsidRPr="009537CC">
          <w:rPr>
            <w:rStyle w:val="Hyperlink"/>
            <w:rFonts w:eastAsia="Calibri" w:cs="Arial"/>
            <w:szCs w:val="24"/>
            <w:u w:color="0000FF"/>
          </w:rPr>
          <w:t>c</w:t>
        </w:r>
        <w:r w:rsidRPr="009537CC">
          <w:rPr>
            <w:rStyle w:val="Hyperlink"/>
            <w:rFonts w:eastAsia="Calibri" w:cs="Arial"/>
            <w:spacing w:val="-1"/>
            <w:szCs w:val="24"/>
            <w:u w:color="0000FF"/>
          </w:rPr>
          <w:t>D</w:t>
        </w:r>
        <w:r w:rsidRPr="009537CC">
          <w:rPr>
            <w:rStyle w:val="Hyperlink"/>
            <w:rFonts w:eastAsia="Calibri" w:cs="Arial"/>
            <w:szCs w:val="24"/>
            <w:u w:color="0000FF"/>
          </w:rPr>
          <w:t>e</w:t>
        </w:r>
        <w:r w:rsidRPr="009537CC">
          <w:rPr>
            <w:rStyle w:val="Hyperlink"/>
            <w:rFonts w:eastAsia="Calibri" w:cs="Arial"/>
            <w:spacing w:val="-1"/>
            <w:szCs w:val="24"/>
            <w:u w:color="0000FF"/>
          </w:rPr>
          <w:t>r</w:t>
        </w:r>
        <w:r w:rsidRPr="009537CC">
          <w:rPr>
            <w:rStyle w:val="Hyperlink"/>
            <w:rFonts w:eastAsia="Calibri" w:cs="Arial"/>
            <w:spacing w:val="2"/>
            <w:szCs w:val="24"/>
            <w:u w:color="0000FF"/>
          </w:rPr>
          <w:t>m</w:t>
        </w:r>
        <w:r w:rsidRPr="009537CC">
          <w:rPr>
            <w:rStyle w:val="Hyperlink"/>
            <w:rFonts w:eastAsia="Calibri" w:cs="Arial"/>
            <w:szCs w:val="24"/>
            <w:u w:color="0000FF"/>
          </w:rPr>
          <w:t>o</w:t>
        </w:r>
        <w:r w:rsidRPr="009537CC">
          <w:rPr>
            <w:rStyle w:val="Hyperlink"/>
            <w:rFonts w:eastAsia="Calibri" w:cs="Arial"/>
            <w:spacing w:val="-2"/>
            <w:szCs w:val="24"/>
            <w:u w:color="0000FF"/>
          </w:rPr>
          <w:t>t</w:t>
        </w:r>
        <w:r w:rsidRPr="009537CC">
          <w:rPr>
            <w:rStyle w:val="Hyperlink"/>
            <w:rFonts w:eastAsia="Calibri" w:cs="Arial"/>
            <w:szCs w:val="24"/>
            <w:u w:color="0000FF"/>
          </w:rPr>
          <w:t>t</w:t>
        </w:r>
        <w:r w:rsidRPr="009537CC">
          <w:rPr>
            <w:rStyle w:val="Hyperlink"/>
            <w:rFonts w:eastAsia="Calibri" w:cs="Arial"/>
            <w:spacing w:val="-1"/>
            <w:szCs w:val="24"/>
            <w:u w:color="0000FF"/>
          </w:rPr>
          <w:t>Ml</w:t>
        </w:r>
        <w:r w:rsidRPr="009537CC">
          <w:rPr>
            <w:rStyle w:val="Hyperlink"/>
            <w:rFonts w:eastAsia="Calibri" w:cs="Arial"/>
            <w:szCs w:val="24"/>
            <w:u w:color="0000FF"/>
          </w:rPr>
          <w:t>@od</w:t>
        </w:r>
        <w:r w:rsidRPr="009537CC">
          <w:rPr>
            <w:rStyle w:val="Hyperlink"/>
            <w:rFonts w:eastAsia="Calibri" w:cs="Arial"/>
            <w:spacing w:val="-2"/>
            <w:szCs w:val="24"/>
            <w:u w:color="0000FF"/>
          </w:rPr>
          <w:t>.</w:t>
        </w:r>
        <w:r w:rsidRPr="009537CC">
          <w:rPr>
            <w:rStyle w:val="Hyperlink"/>
            <w:rFonts w:eastAsia="Calibri" w:cs="Arial"/>
            <w:szCs w:val="24"/>
            <w:u w:color="0000FF"/>
          </w:rPr>
          <w:t>n</w:t>
        </w:r>
        <w:r w:rsidRPr="009537CC">
          <w:rPr>
            <w:rStyle w:val="Hyperlink"/>
            <w:rFonts w:eastAsia="Calibri" w:cs="Arial"/>
            <w:spacing w:val="-1"/>
            <w:szCs w:val="24"/>
            <w:u w:color="0000FF"/>
          </w:rPr>
          <w:t>i</w:t>
        </w:r>
        <w:r w:rsidRPr="009537CC">
          <w:rPr>
            <w:rStyle w:val="Hyperlink"/>
            <w:rFonts w:eastAsia="Calibri" w:cs="Arial"/>
            <w:szCs w:val="24"/>
            <w:u w:color="0000FF"/>
          </w:rPr>
          <w:t>h.</w:t>
        </w:r>
        <w:r w:rsidRPr="009537CC">
          <w:rPr>
            <w:rStyle w:val="Hyperlink"/>
            <w:rFonts w:eastAsia="Calibri" w:cs="Arial"/>
            <w:spacing w:val="-1"/>
            <w:szCs w:val="24"/>
            <w:u w:color="0000FF"/>
          </w:rPr>
          <w:t>g</w:t>
        </w:r>
        <w:r w:rsidRPr="009537CC">
          <w:rPr>
            <w:rStyle w:val="Hyperlink"/>
            <w:rFonts w:eastAsia="Calibri" w:cs="Arial"/>
            <w:szCs w:val="24"/>
            <w:u w:color="0000FF"/>
          </w:rPr>
          <w:t>o</w:t>
        </w:r>
        <w:r w:rsidRPr="009537CC">
          <w:rPr>
            <w:rStyle w:val="Hyperlink"/>
            <w:rFonts w:eastAsia="Calibri" w:cs="Arial"/>
            <w:spacing w:val="-2"/>
            <w:szCs w:val="24"/>
            <w:u w:color="0000FF"/>
          </w:rPr>
          <w:t>v</w:t>
        </w:r>
      </w:hyperlink>
      <w:r w:rsidR="00476F79" w:rsidRPr="007B777C">
        <w:rPr>
          <w:rFonts w:eastAsia="Calibri" w:cs="Arial"/>
          <w:szCs w:val="24"/>
        </w:rPr>
        <w:t>, Jesse</w:t>
      </w:r>
      <w:r w:rsidR="00476F79" w:rsidRPr="007B777C">
        <w:rPr>
          <w:rFonts w:eastAsia="Calibri" w:cs="Arial"/>
          <w:spacing w:val="-1"/>
          <w:szCs w:val="24"/>
        </w:rPr>
        <w:t xml:space="preserve"> </w:t>
      </w:r>
      <w:r w:rsidR="00476F79" w:rsidRPr="007B777C">
        <w:rPr>
          <w:rFonts w:eastAsia="Calibri" w:cs="Arial"/>
          <w:szCs w:val="24"/>
        </w:rPr>
        <w:t>Lee</w:t>
      </w:r>
      <w:r w:rsidR="00476F79" w:rsidRPr="007B777C">
        <w:rPr>
          <w:rFonts w:eastAsia="Calibri" w:cs="Arial"/>
          <w:spacing w:val="-1"/>
          <w:szCs w:val="24"/>
        </w:rPr>
        <w:t>,</w:t>
      </w:r>
      <w:r w:rsidR="00476F79" w:rsidRPr="007B777C">
        <w:rPr>
          <w:rFonts w:eastAsia="Calibri" w:cs="Arial"/>
          <w:szCs w:val="24"/>
        </w:rPr>
        <w:t xml:space="preserve"> </w:t>
      </w:r>
      <w:hyperlink r:id="rId36" w:tooltip="Jesse.Lee2@nih.gov" w:history="1">
        <w:r w:rsidRPr="009537CC">
          <w:rPr>
            <w:rStyle w:val="Hyperlink"/>
            <w:rFonts w:eastAsia="Calibri" w:cs="Arial"/>
            <w:szCs w:val="24"/>
          </w:rPr>
          <w:t>Jesse</w:t>
        </w:r>
        <w:r w:rsidRPr="009537CC">
          <w:rPr>
            <w:rStyle w:val="Hyperlink"/>
            <w:rFonts w:eastAsia="Calibri" w:cs="Arial"/>
            <w:spacing w:val="-2"/>
            <w:szCs w:val="24"/>
          </w:rPr>
          <w:t>.</w:t>
        </w:r>
        <w:r w:rsidRPr="009537CC">
          <w:rPr>
            <w:rStyle w:val="Hyperlink"/>
            <w:rFonts w:eastAsia="Calibri" w:cs="Arial"/>
            <w:szCs w:val="24"/>
          </w:rPr>
          <w:t>Le</w:t>
        </w:r>
        <w:r w:rsidRPr="009537CC">
          <w:rPr>
            <w:rStyle w:val="Hyperlink"/>
            <w:rFonts w:eastAsia="Calibri" w:cs="Arial"/>
            <w:spacing w:val="-2"/>
            <w:szCs w:val="24"/>
          </w:rPr>
          <w:t>e</w:t>
        </w:r>
        <w:r w:rsidRPr="009537CC">
          <w:rPr>
            <w:rStyle w:val="Hyperlink"/>
            <w:rFonts w:eastAsia="Calibri" w:cs="Arial"/>
            <w:szCs w:val="24"/>
          </w:rPr>
          <w:t>2</w:t>
        </w:r>
        <w:r w:rsidRPr="009537CC">
          <w:rPr>
            <w:rStyle w:val="Hyperlink"/>
            <w:rFonts w:eastAsia="Calibri" w:cs="Arial"/>
            <w:spacing w:val="-1"/>
            <w:szCs w:val="24"/>
          </w:rPr>
          <w:t>@ni</w:t>
        </w:r>
        <w:r w:rsidRPr="009537CC">
          <w:rPr>
            <w:rStyle w:val="Hyperlink"/>
            <w:rFonts w:eastAsia="Calibri" w:cs="Arial"/>
            <w:szCs w:val="24"/>
          </w:rPr>
          <w:t>h.</w:t>
        </w:r>
        <w:r w:rsidRPr="009537CC">
          <w:rPr>
            <w:rStyle w:val="Hyperlink"/>
            <w:rFonts w:eastAsia="Calibri" w:cs="Arial"/>
            <w:spacing w:val="-1"/>
            <w:szCs w:val="24"/>
          </w:rPr>
          <w:t>g</w:t>
        </w:r>
        <w:r w:rsidRPr="009537CC">
          <w:rPr>
            <w:rStyle w:val="Hyperlink"/>
            <w:rFonts w:eastAsia="Calibri" w:cs="Arial"/>
            <w:szCs w:val="24"/>
          </w:rPr>
          <w:t>o</w:t>
        </w:r>
        <w:r w:rsidRPr="009537CC">
          <w:rPr>
            <w:rStyle w:val="Hyperlink"/>
            <w:rFonts w:eastAsia="Calibri" w:cs="Arial"/>
            <w:spacing w:val="-2"/>
            <w:szCs w:val="24"/>
          </w:rPr>
          <w:t>v</w:t>
        </w:r>
      </w:hyperlink>
      <w:hyperlink r:id="rId37" w:history="1">
        <w:r w:rsidR="00943AFF" w:rsidRPr="001E18F0">
          <w:rPr>
            <w:rStyle w:val="Hyperlink"/>
            <w:rFonts w:eastAsia="Calibri" w:cs="Arial"/>
            <w:color w:val="000000" w:themeColor="text1"/>
            <w:szCs w:val="24"/>
            <w:u w:val="none"/>
          </w:rPr>
          <w:t>, or Ba</w:t>
        </w:r>
        <w:r w:rsidR="00943AFF" w:rsidRPr="001E18F0">
          <w:rPr>
            <w:rStyle w:val="Hyperlink"/>
            <w:rFonts w:eastAsia="Calibri" w:cs="Arial"/>
            <w:color w:val="000000" w:themeColor="text1"/>
            <w:spacing w:val="-1"/>
            <w:szCs w:val="24"/>
            <w:u w:val="none"/>
          </w:rPr>
          <w:t>rry</w:t>
        </w:r>
      </w:hyperlink>
      <w:r w:rsidRPr="001E18F0">
        <w:rPr>
          <w:rFonts w:eastAsia="Calibri" w:cs="Arial"/>
          <w:color w:val="000000" w:themeColor="text1"/>
          <w:spacing w:val="-1"/>
          <w:szCs w:val="24"/>
        </w:rPr>
        <w:t xml:space="preserve"> </w:t>
      </w:r>
      <w:r w:rsidRPr="004467E3">
        <w:rPr>
          <w:rFonts w:eastAsia="Calibri" w:cs="Arial"/>
          <w:position w:val="-1"/>
          <w:szCs w:val="24"/>
        </w:rPr>
        <w:t>So</w:t>
      </w:r>
      <w:r w:rsidRPr="004467E3">
        <w:rPr>
          <w:rFonts w:eastAsia="Calibri" w:cs="Arial"/>
          <w:spacing w:val="-1"/>
          <w:position w:val="-1"/>
          <w:szCs w:val="24"/>
        </w:rPr>
        <w:t>lo</w:t>
      </w:r>
      <w:r w:rsidRPr="004467E3">
        <w:rPr>
          <w:rFonts w:eastAsia="Calibri" w:cs="Arial"/>
          <w:spacing w:val="2"/>
          <w:position w:val="-1"/>
          <w:szCs w:val="24"/>
        </w:rPr>
        <w:t>m</w:t>
      </w:r>
      <w:r w:rsidRPr="004467E3">
        <w:rPr>
          <w:rFonts w:eastAsia="Calibri" w:cs="Arial"/>
          <w:position w:val="-1"/>
          <w:szCs w:val="24"/>
        </w:rPr>
        <w:t>o</w:t>
      </w:r>
      <w:r w:rsidRPr="004467E3">
        <w:rPr>
          <w:rFonts w:eastAsia="Calibri" w:cs="Arial"/>
          <w:spacing w:val="-1"/>
          <w:position w:val="-1"/>
          <w:szCs w:val="24"/>
        </w:rPr>
        <w:t>n</w:t>
      </w:r>
      <w:r w:rsidR="009537CC">
        <w:rPr>
          <w:rFonts w:eastAsia="Calibri" w:cs="Arial"/>
          <w:position w:val="-1"/>
          <w:szCs w:val="24"/>
        </w:rPr>
        <w:t xml:space="preserve">, </w:t>
      </w:r>
      <w:hyperlink r:id="rId38" w:tooltip="SolomonBJ@od.nih.gov" w:history="1">
        <w:r w:rsidRPr="009537CC">
          <w:rPr>
            <w:rStyle w:val="Hyperlink"/>
          </w:rPr>
          <w:t>SolomonBJ@od.nih.gov</w:t>
        </w:r>
      </w:hyperlink>
      <w:r w:rsidR="00943AFF" w:rsidRPr="00943AFF">
        <w:rPr>
          <w:rFonts w:eastAsia="Calibri" w:cs="Arial"/>
          <w:color w:val="0000FF"/>
          <w:position w:val="-1"/>
          <w:szCs w:val="24"/>
        </w:rPr>
        <w:t>.</w:t>
      </w:r>
    </w:p>
    <w:p w:rsidR="004C4D13" w:rsidRPr="000361C3" w:rsidRDefault="004C4D13" w:rsidP="00C0583B">
      <w:pPr>
        <w:spacing w:line="240" w:lineRule="auto"/>
        <w:rPr>
          <w:rFonts w:cs="Arial"/>
          <w:sz w:val="32"/>
          <w:szCs w:val="32"/>
        </w:rPr>
      </w:pPr>
      <w:r w:rsidRPr="004467E3">
        <w:rPr>
          <w:rFonts w:cs="Arial"/>
          <w:szCs w:val="24"/>
        </w:rPr>
        <w:t xml:space="preserve">If </w:t>
      </w:r>
      <w:r w:rsidRPr="004467E3">
        <w:rPr>
          <w:rFonts w:cs="Arial"/>
          <w:spacing w:val="-2"/>
          <w:szCs w:val="24"/>
        </w:rPr>
        <w:t>y</w:t>
      </w:r>
      <w:r w:rsidRPr="004467E3">
        <w:rPr>
          <w:rFonts w:cs="Arial"/>
          <w:szCs w:val="24"/>
        </w:rPr>
        <w:t>ou</w:t>
      </w:r>
      <w:r w:rsidRPr="004467E3">
        <w:rPr>
          <w:rFonts w:cs="Arial"/>
          <w:spacing w:val="2"/>
          <w:szCs w:val="24"/>
        </w:rPr>
        <w:t xml:space="preserve"> </w:t>
      </w:r>
      <w:r w:rsidRPr="004467E3">
        <w:rPr>
          <w:rFonts w:cs="Arial"/>
          <w:szCs w:val="24"/>
        </w:rPr>
        <w:t>ha</w:t>
      </w:r>
      <w:r w:rsidRPr="004467E3">
        <w:rPr>
          <w:rFonts w:cs="Arial"/>
          <w:spacing w:val="-2"/>
          <w:szCs w:val="24"/>
        </w:rPr>
        <w:t>v</w:t>
      </w:r>
      <w:r w:rsidRPr="004467E3">
        <w:rPr>
          <w:rFonts w:cs="Arial"/>
          <w:szCs w:val="24"/>
        </w:rPr>
        <w:t>e</w:t>
      </w:r>
      <w:r w:rsidRPr="004467E3">
        <w:rPr>
          <w:rFonts w:cs="Arial"/>
          <w:spacing w:val="2"/>
          <w:szCs w:val="24"/>
        </w:rPr>
        <w:t xml:space="preserve"> </w:t>
      </w:r>
      <w:r w:rsidRPr="004467E3">
        <w:rPr>
          <w:rFonts w:cs="Arial"/>
          <w:spacing w:val="-1"/>
          <w:szCs w:val="24"/>
        </w:rPr>
        <w:t>a</w:t>
      </w:r>
      <w:r w:rsidRPr="004467E3">
        <w:rPr>
          <w:rFonts w:cs="Arial"/>
          <w:szCs w:val="24"/>
        </w:rPr>
        <w:t>ny</w:t>
      </w:r>
      <w:r w:rsidRPr="004467E3">
        <w:rPr>
          <w:rFonts w:cs="Arial"/>
          <w:spacing w:val="-2"/>
          <w:szCs w:val="24"/>
        </w:rPr>
        <w:t xml:space="preserve"> </w:t>
      </w:r>
      <w:r w:rsidRPr="004467E3">
        <w:rPr>
          <w:rFonts w:cs="Arial"/>
          <w:spacing w:val="-1"/>
          <w:szCs w:val="24"/>
        </w:rPr>
        <w:t>q</w:t>
      </w:r>
      <w:r w:rsidRPr="004467E3">
        <w:rPr>
          <w:rFonts w:cs="Arial"/>
          <w:szCs w:val="24"/>
        </w:rPr>
        <w:t>uest</w:t>
      </w:r>
      <w:r w:rsidRPr="004467E3">
        <w:rPr>
          <w:rFonts w:cs="Arial"/>
          <w:spacing w:val="-1"/>
          <w:szCs w:val="24"/>
        </w:rPr>
        <w:t>i</w:t>
      </w:r>
      <w:r w:rsidRPr="004467E3">
        <w:rPr>
          <w:rFonts w:cs="Arial"/>
          <w:szCs w:val="24"/>
        </w:rPr>
        <w:t xml:space="preserve">ons or </w:t>
      </w:r>
      <w:r w:rsidRPr="004467E3">
        <w:rPr>
          <w:rFonts w:cs="Arial"/>
          <w:spacing w:val="-2"/>
          <w:szCs w:val="24"/>
        </w:rPr>
        <w:t>c</w:t>
      </w:r>
      <w:r w:rsidRPr="004467E3">
        <w:rPr>
          <w:rFonts w:cs="Arial"/>
          <w:szCs w:val="24"/>
        </w:rPr>
        <w:t>o</w:t>
      </w:r>
      <w:r w:rsidRPr="004467E3">
        <w:rPr>
          <w:rFonts w:cs="Arial"/>
          <w:spacing w:val="-1"/>
          <w:szCs w:val="24"/>
        </w:rPr>
        <w:t>m</w:t>
      </w:r>
      <w:r w:rsidRPr="004467E3">
        <w:rPr>
          <w:rFonts w:cs="Arial"/>
          <w:spacing w:val="2"/>
          <w:szCs w:val="24"/>
        </w:rPr>
        <w:t>m</w:t>
      </w:r>
      <w:r w:rsidRPr="004467E3">
        <w:rPr>
          <w:rFonts w:cs="Arial"/>
          <w:spacing w:val="-1"/>
          <w:szCs w:val="24"/>
        </w:rPr>
        <w:t>e</w:t>
      </w:r>
      <w:r w:rsidRPr="004467E3">
        <w:rPr>
          <w:rFonts w:cs="Arial"/>
          <w:szCs w:val="24"/>
        </w:rPr>
        <w:t xml:space="preserve">nts </w:t>
      </w:r>
      <w:r w:rsidRPr="004467E3">
        <w:rPr>
          <w:rFonts w:cs="Arial"/>
          <w:spacing w:val="-1"/>
          <w:szCs w:val="24"/>
        </w:rPr>
        <w:t>r</w:t>
      </w:r>
      <w:r w:rsidRPr="004467E3">
        <w:rPr>
          <w:rFonts w:cs="Arial"/>
          <w:szCs w:val="24"/>
        </w:rPr>
        <w:t>e</w:t>
      </w:r>
      <w:r w:rsidRPr="004467E3">
        <w:rPr>
          <w:rFonts w:cs="Arial"/>
          <w:spacing w:val="-2"/>
          <w:szCs w:val="24"/>
        </w:rPr>
        <w:t>g</w:t>
      </w:r>
      <w:r w:rsidRPr="004467E3">
        <w:rPr>
          <w:rFonts w:cs="Arial"/>
          <w:spacing w:val="-1"/>
          <w:szCs w:val="24"/>
        </w:rPr>
        <w:t>ar</w:t>
      </w:r>
      <w:r w:rsidRPr="004467E3">
        <w:rPr>
          <w:rFonts w:cs="Arial"/>
          <w:szCs w:val="24"/>
        </w:rPr>
        <w:t>d</w:t>
      </w:r>
      <w:r w:rsidRPr="004467E3">
        <w:rPr>
          <w:rFonts w:cs="Arial"/>
          <w:spacing w:val="-1"/>
          <w:szCs w:val="24"/>
        </w:rPr>
        <w:t>i</w:t>
      </w:r>
      <w:r w:rsidRPr="004467E3">
        <w:rPr>
          <w:rFonts w:cs="Arial"/>
          <w:szCs w:val="24"/>
        </w:rPr>
        <w:t>ng</w:t>
      </w:r>
      <w:r w:rsidRPr="004467E3">
        <w:rPr>
          <w:rFonts w:cs="Arial"/>
          <w:spacing w:val="-1"/>
          <w:szCs w:val="24"/>
        </w:rPr>
        <w:t xml:space="preserve"> </w:t>
      </w:r>
      <w:r w:rsidRPr="004467E3">
        <w:rPr>
          <w:rFonts w:cs="Arial"/>
          <w:szCs w:val="24"/>
        </w:rPr>
        <w:t>the</w:t>
      </w:r>
      <w:r w:rsidRPr="004467E3">
        <w:rPr>
          <w:rFonts w:cs="Arial"/>
          <w:spacing w:val="2"/>
          <w:szCs w:val="24"/>
        </w:rPr>
        <w:t xml:space="preserve"> </w:t>
      </w:r>
      <w:r w:rsidRPr="004467E3">
        <w:rPr>
          <w:rFonts w:cs="Arial"/>
          <w:spacing w:val="-1"/>
          <w:szCs w:val="24"/>
        </w:rPr>
        <w:t>in</w:t>
      </w:r>
      <w:r w:rsidRPr="004467E3">
        <w:rPr>
          <w:rFonts w:cs="Arial"/>
          <w:szCs w:val="24"/>
        </w:rPr>
        <w:t>fo</w:t>
      </w:r>
      <w:r w:rsidRPr="004467E3">
        <w:rPr>
          <w:rFonts w:cs="Arial"/>
          <w:spacing w:val="-1"/>
          <w:szCs w:val="24"/>
        </w:rPr>
        <w:t>rm</w:t>
      </w:r>
      <w:r w:rsidRPr="004467E3">
        <w:rPr>
          <w:rFonts w:cs="Arial"/>
          <w:szCs w:val="24"/>
        </w:rPr>
        <w:t>at</w:t>
      </w:r>
      <w:r w:rsidRPr="004467E3">
        <w:rPr>
          <w:rFonts w:cs="Arial"/>
          <w:spacing w:val="-1"/>
          <w:szCs w:val="24"/>
        </w:rPr>
        <w:t>i</w:t>
      </w:r>
      <w:r w:rsidRPr="004467E3">
        <w:rPr>
          <w:rFonts w:cs="Arial"/>
          <w:szCs w:val="24"/>
        </w:rPr>
        <w:t>o</w:t>
      </w:r>
      <w:r w:rsidRPr="004467E3">
        <w:rPr>
          <w:rFonts w:cs="Arial"/>
          <w:spacing w:val="-2"/>
          <w:szCs w:val="24"/>
        </w:rPr>
        <w:t>n</w:t>
      </w:r>
      <w:r w:rsidRPr="004467E3">
        <w:rPr>
          <w:rFonts w:cs="Arial"/>
          <w:szCs w:val="24"/>
        </w:rPr>
        <w:t xml:space="preserve">, </w:t>
      </w:r>
      <w:r w:rsidRPr="004467E3">
        <w:rPr>
          <w:rFonts w:cs="Arial"/>
          <w:spacing w:val="-1"/>
          <w:szCs w:val="24"/>
        </w:rPr>
        <w:t>p</w:t>
      </w:r>
      <w:r w:rsidRPr="004467E3">
        <w:rPr>
          <w:rFonts w:cs="Arial"/>
          <w:szCs w:val="24"/>
        </w:rPr>
        <w:t>o</w:t>
      </w:r>
      <w:r w:rsidRPr="004467E3">
        <w:rPr>
          <w:rFonts w:cs="Arial"/>
          <w:spacing w:val="-1"/>
          <w:szCs w:val="24"/>
        </w:rPr>
        <w:t>li</w:t>
      </w:r>
      <w:r w:rsidRPr="004467E3">
        <w:rPr>
          <w:rFonts w:cs="Arial"/>
          <w:szCs w:val="24"/>
        </w:rPr>
        <w:t>cy</w:t>
      </w:r>
      <w:r w:rsidRPr="004467E3">
        <w:rPr>
          <w:rFonts w:cs="Arial"/>
          <w:spacing w:val="-2"/>
          <w:szCs w:val="24"/>
        </w:rPr>
        <w:t xml:space="preserve"> </w:t>
      </w:r>
      <w:r w:rsidRPr="004467E3">
        <w:rPr>
          <w:rFonts w:cs="Arial"/>
          <w:szCs w:val="24"/>
        </w:rPr>
        <w:t>and/or p</w:t>
      </w:r>
      <w:r w:rsidRPr="004467E3">
        <w:rPr>
          <w:rFonts w:cs="Arial"/>
          <w:spacing w:val="-1"/>
          <w:szCs w:val="24"/>
        </w:rPr>
        <w:t>r</w:t>
      </w:r>
      <w:r w:rsidRPr="004467E3">
        <w:rPr>
          <w:rFonts w:cs="Arial"/>
          <w:szCs w:val="24"/>
        </w:rPr>
        <w:t>oce</w:t>
      </w:r>
      <w:r w:rsidRPr="004467E3">
        <w:rPr>
          <w:rFonts w:cs="Arial"/>
          <w:spacing w:val="-2"/>
          <w:szCs w:val="24"/>
        </w:rPr>
        <w:t>d</w:t>
      </w:r>
      <w:r w:rsidRPr="004467E3">
        <w:rPr>
          <w:rFonts w:cs="Arial"/>
          <w:szCs w:val="24"/>
        </w:rPr>
        <w:t>u</w:t>
      </w:r>
      <w:r w:rsidRPr="004467E3">
        <w:rPr>
          <w:rFonts w:cs="Arial"/>
          <w:spacing w:val="-1"/>
          <w:szCs w:val="24"/>
        </w:rPr>
        <w:t>r</w:t>
      </w:r>
      <w:r w:rsidRPr="004467E3">
        <w:rPr>
          <w:rFonts w:cs="Arial"/>
          <w:szCs w:val="24"/>
        </w:rPr>
        <w:t xml:space="preserve">es </w:t>
      </w:r>
      <w:r w:rsidRPr="004467E3">
        <w:rPr>
          <w:rFonts w:cs="Arial"/>
          <w:spacing w:val="-1"/>
          <w:szCs w:val="24"/>
        </w:rPr>
        <w:t>p</w:t>
      </w:r>
      <w:r w:rsidRPr="004467E3">
        <w:rPr>
          <w:rFonts w:cs="Arial"/>
          <w:szCs w:val="24"/>
        </w:rPr>
        <w:t>ub</w:t>
      </w:r>
      <w:r w:rsidRPr="004467E3">
        <w:rPr>
          <w:rFonts w:cs="Arial"/>
          <w:spacing w:val="-1"/>
          <w:szCs w:val="24"/>
        </w:rPr>
        <w:t>li</w:t>
      </w:r>
      <w:r w:rsidRPr="004467E3">
        <w:rPr>
          <w:rFonts w:cs="Arial"/>
          <w:szCs w:val="24"/>
        </w:rPr>
        <w:t>sh</w:t>
      </w:r>
      <w:r w:rsidRPr="004467E3">
        <w:rPr>
          <w:rFonts w:cs="Arial"/>
          <w:spacing w:val="-2"/>
          <w:szCs w:val="24"/>
        </w:rPr>
        <w:t>e</w:t>
      </w:r>
      <w:r w:rsidRPr="004467E3">
        <w:rPr>
          <w:rFonts w:cs="Arial"/>
          <w:szCs w:val="24"/>
        </w:rPr>
        <w:t>d</w:t>
      </w:r>
      <w:r w:rsidRPr="004467E3">
        <w:rPr>
          <w:rFonts w:cs="Arial"/>
          <w:spacing w:val="2"/>
          <w:szCs w:val="24"/>
        </w:rPr>
        <w:t xml:space="preserve"> </w:t>
      </w:r>
      <w:r w:rsidRPr="004467E3">
        <w:rPr>
          <w:rFonts w:cs="Arial"/>
          <w:spacing w:val="-3"/>
          <w:szCs w:val="24"/>
        </w:rPr>
        <w:t>i</w:t>
      </w:r>
      <w:r w:rsidRPr="004467E3">
        <w:rPr>
          <w:rFonts w:cs="Arial"/>
          <w:szCs w:val="24"/>
        </w:rPr>
        <w:t>n</w:t>
      </w:r>
      <w:r w:rsidRPr="004467E3">
        <w:rPr>
          <w:rFonts w:cs="Arial"/>
          <w:spacing w:val="2"/>
          <w:szCs w:val="24"/>
        </w:rPr>
        <w:t xml:space="preserve"> </w:t>
      </w:r>
      <w:r w:rsidRPr="004467E3">
        <w:rPr>
          <w:rFonts w:cs="Arial"/>
          <w:szCs w:val="24"/>
        </w:rPr>
        <w:t>th</w:t>
      </w:r>
      <w:r w:rsidRPr="004467E3">
        <w:rPr>
          <w:rFonts w:cs="Arial"/>
          <w:spacing w:val="-1"/>
          <w:szCs w:val="24"/>
        </w:rPr>
        <w:t>i</w:t>
      </w:r>
      <w:r w:rsidRPr="004467E3">
        <w:rPr>
          <w:rFonts w:cs="Arial"/>
          <w:szCs w:val="24"/>
        </w:rPr>
        <w:t xml:space="preserve">s </w:t>
      </w:r>
      <w:r w:rsidRPr="004467E3">
        <w:rPr>
          <w:rFonts w:cs="Arial"/>
          <w:spacing w:val="-1"/>
          <w:szCs w:val="24"/>
        </w:rPr>
        <w:t>i</w:t>
      </w:r>
      <w:r w:rsidRPr="004467E3">
        <w:rPr>
          <w:rFonts w:cs="Arial"/>
          <w:szCs w:val="24"/>
        </w:rPr>
        <w:t>ss</w:t>
      </w:r>
      <w:r w:rsidRPr="004467E3">
        <w:rPr>
          <w:rFonts w:cs="Arial"/>
          <w:spacing w:val="-1"/>
          <w:szCs w:val="24"/>
        </w:rPr>
        <w:t>u</w:t>
      </w:r>
      <w:r w:rsidRPr="004467E3">
        <w:rPr>
          <w:rFonts w:cs="Arial"/>
          <w:szCs w:val="24"/>
        </w:rPr>
        <w:t xml:space="preserve">e, </w:t>
      </w:r>
      <w:r w:rsidRPr="004467E3">
        <w:rPr>
          <w:rFonts w:cs="Arial"/>
          <w:spacing w:val="-2"/>
          <w:szCs w:val="24"/>
        </w:rPr>
        <w:t>y</w:t>
      </w:r>
      <w:r w:rsidRPr="004467E3">
        <w:rPr>
          <w:rFonts w:cs="Arial"/>
          <w:szCs w:val="24"/>
        </w:rPr>
        <w:t>ou</w:t>
      </w:r>
      <w:r w:rsidRPr="004467E3">
        <w:rPr>
          <w:rFonts w:cs="Arial"/>
          <w:spacing w:val="-1"/>
          <w:szCs w:val="24"/>
        </w:rPr>
        <w:t xml:space="preserve"> </w:t>
      </w:r>
      <w:r w:rsidRPr="004467E3">
        <w:rPr>
          <w:rFonts w:cs="Arial"/>
          <w:spacing w:val="2"/>
          <w:szCs w:val="24"/>
        </w:rPr>
        <w:t>m</w:t>
      </w:r>
      <w:r w:rsidRPr="004467E3">
        <w:rPr>
          <w:rFonts w:cs="Arial"/>
          <w:szCs w:val="24"/>
        </w:rPr>
        <w:t>ay</w:t>
      </w:r>
      <w:r w:rsidRPr="004467E3">
        <w:rPr>
          <w:rFonts w:cs="Arial"/>
          <w:spacing w:val="-2"/>
          <w:szCs w:val="24"/>
        </w:rPr>
        <w:t xml:space="preserve"> </w:t>
      </w:r>
      <w:r w:rsidRPr="004467E3">
        <w:rPr>
          <w:rFonts w:cs="Arial"/>
          <w:szCs w:val="24"/>
        </w:rPr>
        <w:t>conta</w:t>
      </w:r>
      <w:r w:rsidRPr="004467E3">
        <w:rPr>
          <w:rFonts w:cs="Arial"/>
          <w:spacing w:val="-2"/>
          <w:szCs w:val="24"/>
        </w:rPr>
        <w:t>c</w:t>
      </w:r>
      <w:r w:rsidRPr="004467E3">
        <w:rPr>
          <w:rFonts w:cs="Arial"/>
          <w:szCs w:val="24"/>
        </w:rPr>
        <w:t xml:space="preserve">t </w:t>
      </w:r>
      <w:r w:rsidR="00943AFF">
        <w:rPr>
          <w:rFonts w:cs="Arial"/>
          <w:szCs w:val="24"/>
        </w:rPr>
        <w:t xml:space="preserve">Michele McDermott </w:t>
      </w:r>
      <w:r w:rsidRPr="004467E3">
        <w:rPr>
          <w:rFonts w:cs="Arial"/>
          <w:szCs w:val="24"/>
        </w:rPr>
        <w:t>at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e</w:t>
      </w:r>
      <w:r w:rsidRPr="004467E3">
        <w:rPr>
          <w:rFonts w:cs="Arial"/>
          <w:spacing w:val="-3"/>
          <w:szCs w:val="24"/>
        </w:rPr>
        <w:t>-</w:t>
      </w:r>
      <w:r w:rsidRPr="004467E3">
        <w:rPr>
          <w:rFonts w:cs="Arial"/>
          <w:spacing w:val="2"/>
          <w:szCs w:val="24"/>
        </w:rPr>
        <w:t>m</w:t>
      </w:r>
      <w:r w:rsidRPr="004467E3">
        <w:rPr>
          <w:rFonts w:cs="Arial"/>
          <w:szCs w:val="24"/>
        </w:rPr>
        <w:t>ail add</w:t>
      </w:r>
      <w:r w:rsidRPr="004467E3">
        <w:rPr>
          <w:rFonts w:cs="Arial"/>
          <w:spacing w:val="-1"/>
          <w:szCs w:val="24"/>
        </w:rPr>
        <w:t>r</w:t>
      </w:r>
      <w:r w:rsidRPr="004467E3">
        <w:rPr>
          <w:rFonts w:cs="Arial"/>
          <w:szCs w:val="24"/>
        </w:rPr>
        <w:t>ess</w:t>
      </w:r>
      <w:r w:rsidRPr="004467E3">
        <w:rPr>
          <w:rFonts w:cs="Arial"/>
          <w:spacing w:val="-2"/>
          <w:szCs w:val="24"/>
        </w:rPr>
        <w:t xml:space="preserve"> </w:t>
      </w:r>
      <w:r w:rsidRPr="004467E3">
        <w:rPr>
          <w:rFonts w:cs="Arial"/>
          <w:szCs w:val="24"/>
        </w:rPr>
        <w:t>a</w:t>
      </w:r>
      <w:r w:rsidRPr="004467E3">
        <w:rPr>
          <w:rFonts w:cs="Arial"/>
          <w:spacing w:val="-2"/>
          <w:szCs w:val="24"/>
        </w:rPr>
        <w:t>b</w:t>
      </w:r>
      <w:r w:rsidRPr="004467E3">
        <w:rPr>
          <w:rFonts w:cs="Arial"/>
          <w:szCs w:val="24"/>
        </w:rPr>
        <w:t>o</w:t>
      </w:r>
      <w:r w:rsidRPr="004467E3">
        <w:rPr>
          <w:rFonts w:cs="Arial"/>
          <w:spacing w:val="-2"/>
          <w:szCs w:val="24"/>
        </w:rPr>
        <w:t>v</w:t>
      </w:r>
      <w:r w:rsidRPr="004467E3">
        <w:rPr>
          <w:rFonts w:cs="Arial"/>
          <w:szCs w:val="24"/>
        </w:rPr>
        <w:t>e. For</w:t>
      </w:r>
      <w:r w:rsidRPr="004467E3">
        <w:rPr>
          <w:rFonts w:cs="Arial"/>
          <w:spacing w:val="-2"/>
          <w:szCs w:val="24"/>
        </w:rPr>
        <w:t xml:space="preserve"> </w:t>
      </w:r>
      <w:r w:rsidRPr="004467E3">
        <w:rPr>
          <w:rFonts w:cs="Arial"/>
          <w:spacing w:val="3"/>
          <w:szCs w:val="24"/>
        </w:rPr>
        <w:t>f</w:t>
      </w:r>
      <w:r w:rsidRPr="004467E3">
        <w:rPr>
          <w:rFonts w:cs="Arial"/>
          <w:spacing w:val="-1"/>
          <w:szCs w:val="24"/>
        </w:rPr>
        <w:t>u</w:t>
      </w:r>
      <w:r w:rsidRPr="004467E3">
        <w:rPr>
          <w:rFonts w:cs="Arial"/>
          <w:szCs w:val="24"/>
        </w:rPr>
        <w:t>tu</w:t>
      </w:r>
      <w:r w:rsidRPr="004467E3">
        <w:rPr>
          <w:rFonts w:cs="Arial"/>
          <w:spacing w:val="-1"/>
          <w:szCs w:val="24"/>
        </w:rPr>
        <w:t>r</w:t>
      </w:r>
      <w:r w:rsidRPr="004467E3">
        <w:rPr>
          <w:rFonts w:cs="Arial"/>
          <w:szCs w:val="24"/>
        </w:rPr>
        <w:t>e</w:t>
      </w:r>
      <w:r w:rsidRPr="004467E3">
        <w:rPr>
          <w:rFonts w:cs="Arial"/>
          <w:spacing w:val="2"/>
          <w:szCs w:val="24"/>
        </w:rPr>
        <w:t xml:space="preserve"> </w:t>
      </w:r>
      <w:r w:rsidRPr="004467E3">
        <w:rPr>
          <w:rFonts w:cs="Arial"/>
          <w:spacing w:val="-1"/>
          <w:szCs w:val="24"/>
        </w:rPr>
        <w:t>i</w:t>
      </w:r>
      <w:r w:rsidRPr="004467E3">
        <w:rPr>
          <w:rFonts w:cs="Arial"/>
          <w:szCs w:val="24"/>
        </w:rPr>
        <w:t>ssues</w:t>
      </w:r>
      <w:r w:rsidRPr="004467E3">
        <w:rPr>
          <w:rFonts w:cs="Arial"/>
          <w:spacing w:val="-2"/>
          <w:szCs w:val="24"/>
        </w:rPr>
        <w:t xml:space="preserve"> </w:t>
      </w:r>
      <w:r w:rsidRPr="004467E3">
        <w:rPr>
          <w:rFonts w:cs="Arial"/>
          <w:szCs w:val="24"/>
        </w:rPr>
        <w:t>p</w:t>
      </w:r>
      <w:r w:rsidRPr="004467E3">
        <w:rPr>
          <w:rFonts w:cs="Arial"/>
          <w:spacing w:val="-1"/>
          <w:szCs w:val="24"/>
        </w:rPr>
        <w:t>le</w:t>
      </w:r>
      <w:r w:rsidRPr="004467E3">
        <w:rPr>
          <w:rFonts w:cs="Arial"/>
          <w:szCs w:val="24"/>
        </w:rPr>
        <w:t>ase</w:t>
      </w:r>
      <w:r w:rsidRPr="004467E3">
        <w:rPr>
          <w:rFonts w:cs="Arial"/>
          <w:spacing w:val="2"/>
          <w:szCs w:val="24"/>
        </w:rPr>
        <w:t xml:space="preserve"> </w:t>
      </w:r>
      <w:r w:rsidRPr="004467E3">
        <w:rPr>
          <w:rFonts w:cs="Arial"/>
          <w:spacing w:val="-2"/>
          <w:szCs w:val="24"/>
        </w:rPr>
        <w:t>c</w:t>
      </w:r>
      <w:r w:rsidRPr="004467E3">
        <w:rPr>
          <w:rFonts w:cs="Arial"/>
          <w:szCs w:val="24"/>
        </w:rPr>
        <w:t>on</w:t>
      </w:r>
      <w:r w:rsidRPr="004467E3">
        <w:rPr>
          <w:rFonts w:cs="Arial"/>
          <w:spacing w:val="-2"/>
          <w:szCs w:val="24"/>
        </w:rPr>
        <w:t>t</w:t>
      </w:r>
      <w:r w:rsidRPr="004467E3">
        <w:rPr>
          <w:rFonts w:cs="Arial"/>
          <w:szCs w:val="24"/>
        </w:rPr>
        <w:t>act t</w:t>
      </w:r>
      <w:r w:rsidRPr="004467E3">
        <w:rPr>
          <w:rFonts w:cs="Arial"/>
          <w:spacing w:val="-1"/>
          <w:szCs w:val="24"/>
        </w:rPr>
        <w:t>h</w:t>
      </w:r>
      <w:r w:rsidRPr="004467E3">
        <w:rPr>
          <w:rFonts w:cs="Arial"/>
          <w:szCs w:val="24"/>
        </w:rPr>
        <w:t>e</w:t>
      </w:r>
      <w:r w:rsidRPr="004467E3">
        <w:rPr>
          <w:rFonts w:cs="Arial"/>
          <w:spacing w:val="2"/>
          <w:szCs w:val="24"/>
        </w:rPr>
        <w:t xml:space="preserve"> </w:t>
      </w:r>
      <w:r w:rsidRPr="004467E3">
        <w:rPr>
          <w:rFonts w:cs="Arial"/>
          <w:szCs w:val="24"/>
        </w:rPr>
        <w:t>S</w:t>
      </w:r>
      <w:r w:rsidRPr="004467E3">
        <w:rPr>
          <w:rFonts w:cs="Arial"/>
          <w:spacing w:val="-3"/>
          <w:szCs w:val="24"/>
        </w:rPr>
        <w:t>i</w:t>
      </w:r>
      <w:r w:rsidRPr="004467E3">
        <w:rPr>
          <w:rFonts w:cs="Arial"/>
          <w:spacing w:val="2"/>
          <w:szCs w:val="24"/>
        </w:rPr>
        <w:t>m</w:t>
      </w:r>
      <w:r w:rsidRPr="004467E3">
        <w:rPr>
          <w:rFonts w:cs="Arial"/>
          <w:szCs w:val="24"/>
        </w:rPr>
        <w:t>p</w:t>
      </w:r>
      <w:r w:rsidRPr="004467E3">
        <w:rPr>
          <w:rFonts w:cs="Arial"/>
          <w:spacing w:val="-1"/>
          <w:szCs w:val="24"/>
        </w:rPr>
        <w:t>l</w:t>
      </w:r>
      <w:r w:rsidRPr="004467E3">
        <w:rPr>
          <w:rFonts w:cs="Arial"/>
          <w:spacing w:val="-3"/>
          <w:szCs w:val="24"/>
        </w:rPr>
        <w:t>i</w:t>
      </w:r>
      <w:r w:rsidRPr="004467E3">
        <w:rPr>
          <w:rFonts w:cs="Arial"/>
          <w:spacing w:val="3"/>
          <w:szCs w:val="24"/>
        </w:rPr>
        <w:t>f</w:t>
      </w:r>
      <w:r w:rsidRPr="004467E3">
        <w:rPr>
          <w:rFonts w:cs="Arial"/>
          <w:spacing w:val="-1"/>
          <w:szCs w:val="24"/>
        </w:rPr>
        <w:t>i</w:t>
      </w:r>
      <w:r w:rsidRPr="004467E3">
        <w:rPr>
          <w:rFonts w:cs="Arial"/>
          <w:szCs w:val="24"/>
        </w:rPr>
        <w:t>ed</w:t>
      </w:r>
      <w:r w:rsidRPr="004467E3">
        <w:rPr>
          <w:rFonts w:cs="Arial"/>
          <w:spacing w:val="-1"/>
          <w:szCs w:val="24"/>
        </w:rPr>
        <w:t xml:space="preserve"> </w:t>
      </w:r>
      <w:r w:rsidRPr="004467E3">
        <w:rPr>
          <w:rFonts w:cs="Arial"/>
          <w:szCs w:val="24"/>
        </w:rPr>
        <w:t>Ac</w:t>
      </w:r>
      <w:r w:rsidRPr="004467E3">
        <w:rPr>
          <w:rFonts w:cs="Arial"/>
          <w:spacing w:val="-1"/>
          <w:szCs w:val="24"/>
        </w:rPr>
        <w:t>qui</w:t>
      </w:r>
      <w:r w:rsidRPr="004467E3">
        <w:rPr>
          <w:rFonts w:cs="Arial"/>
          <w:szCs w:val="24"/>
        </w:rPr>
        <w:t>s</w:t>
      </w:r>
      <w:r w:rsidRPr="004467E3">
        <w:rPr>
          <w:rFonts w:cs="Arial"/>
          <w:spacing w:val="-1"/>
          <w:szCs w:val="24"/>
        </w:rPr>
        <w:t>i</w:t>
      </w:r>
      <w:r w:rsidRPr="004467E3">
        <w:rPr>
          <w:rFonts w:cs="Arial"/>
          <w:szCs w:val="24"/>
        </w:rPr>
        <w:t>t</w:t>
      </w:r>
      <w:r w:rsidRPr="004467E3">
        <w:rPr>
          <w:rFonts w:cs="Arial"/>
          <w:spacing w:val="-1"/>
          <w:szCs w:val="24"/>
        </w:rPr>
        <w:t>i</w:t>
      </w:r>
      <w:r w:rsidRPr="004467E3">
        <w:rPr>
          <w:rFonts w:cs="Arial"/>
          <w:szCs w:val="24"/>
        </w:rPr>
        <w:t xml:space="preserve">ons </w:t>
      </w:r>
      <w:r w:rsidRPr="004467E3">
        <w:rPr>
          <w:rFonts w:cs="Arial"/>
          <w:spacing w:val="-1"/>
          <w:szCs w:val="24"/>
        </w:rPr>
        <w:t>H</w:t>
      </w:r>
      <w:r w:rsidRPr="004467E3">
        <w:rPr>
          <w:rFonts w:cs="Arial"/>
          <w:szCs w:val="24"/>
        </w:rPr>
        <w:t>e</w:t>
      </w:r>
      <w:r w:rsidRPr="004467E3">
        <w:rPr>
          <w:rFonts w:cs="Arial"/>
          <w:spacing w:val="-1"/>
          <w:szCs w:val="24"/>
        </w:rPr>
        <w:t>l</w:t>
      </w:r>
      <w:r w:rsidRPr="004467E3">
        <w:rPr>
          <w:rFonts w:cs="Arial"/>
          <w:szCs w:val="24"/>
        </w:rPr>
        <w:t>p</w:t>
      </w:r>
      <w:r w:rsidRPr="004467E3">
        <w:rPr>
          <w:rFonts w:cs="Arial"/>
          <w:spacing w:val="-1"/>
          <w:szCs w:val="24"/>
        </w:rPr>
        <w:t>li</w:t>
      </w:r>
      <w:r w:rsidRPr="004467E3">
        <w:rPr>
          <w:rFonts w:cs="Arial"/>
          <w:szCs w:val="24"/>
        </w:rPr>
        <w:t>ne</w:t>
      </w:r>
      <w:r w:rsidRPr="004467E3">
        <w:rPr>
          <w:rFonts w:cs="Arial"/>
          <w:spacing w:val="-1"/>
          <w:szCs w:val="24"/>
        </w:rPr>
        <w:t xml:space="preserve"> </w:t>
      </w:r>
      <w:r w:rsidRPr="004467E3">
        <w:rPr>
          <w:rFonts w:cs="Arial"/>
          <w:szCs w:val="24"/>
        </w:rPr>
        <w:t>on 301</w:t>
      </w:r>
      <w:r w:rsidRPr="004467E3">
        <w:rPr>
          <w:rFonts w:cs="Arial"/>
          <w:spacing w:val="-1"/>
          <w:szCs w:val="24"/>
        </w:rPr>
        <w:t>-4</w:t>
      </w:r>
      <w:r w:rsidRPr="004467E3">
        <w:rPr>
          <w:rFonts w:cs="Arial"/>
          <w:szCs w:val="24"/>
        </w:rPr>
        <w:t>96</w:t>
      </w:r>
      <w:r w:rsidRPr="004467E3">
        <w:rPr>
          <w:rFonts w:cs="Arial"/>
          <w:spacing w:val="-1"/>
          <w:szCs w:val="24"/>
        </w:rPr>
        <w:t>-</w:t>
      </w:r>
      <w:r w:rsidRPr="004467E3">
        <w:rPr>
          <w:rFonts w:cs="Arial"/>
          <w:szCs w:val="24"/>
        </w:rPr>
        <w:t>0</w:t>
      </w:r>
      <w:r w:rsidRPr="004467E3">
        <w:rPr>
          <w:rFonts w:cs="Arial"/>
          <w:spacing w:val="-2"/>
          <w:szCs w:val="24"/>
        </w:rPr>
        <w:t>4</w:t>
      </w:r>
      <w:r w:rsidRPr="004467E3">
        <w:rPr>
          <w:rFonts w:cs="Arial"/>
          <w:szCs w:val="24"/>
        </w:rPr>
        <w:t>00</w:t>
      </w:r>
      <w:r w:rsidRPr="004467E3">
        <w:rPr>
          <w:rFonts w:cs="Arial"/>
          <w:spacing w:val="-1"/>
          <w:szCs w:val="24"/>
        </w:rPr>
        <w:t xml:space="preserve"> </w:t>
      </w:r>
      <w:r w:rsidRPr="004467E3">
        <w:rPr>
          <w:rFonts w:cs="Arial"/>
          <w:szCs w:val="24"/>
        </w:rPr>
        <w:t xml:space="preserve">or </w:t>
      </w:r>
      <w:r w:rsidRPr="004467E3">
        <w:rPr>
          <w:rFonts w:cs="Arial"/>
          <w:spacing w:val="-2"/>
          <w:szCs w:val="24"/>
        </w:rPr>
        <w:t>v</w:t>
      </w:r>
      <w:r w:rsidRPr="004467E3">
        <w:rPr>
          <w:rFonts w:cs="Arial"/>
          <w:spacing w:val="-1"/>
          <w:szCs w:val="24"/>
        </w:rPr>
        <w:t>i</w:t>
      </w:r>
      <w:r w:rsidRPr="004467E3">
        <w:rPr>
          <w:rFonts w:cs="Arial"/>
          <w:szCs w:val="24"/>
        </w:rPr>
        <w:t>a</w:t>
      </w:r>
      <w:r w:rsidRPr="004467E3">
        <w:rPr>
          <w:rFonts w:cs="Arial"/>
          <w:spacing w:val="2"/>
          <w:szCs w:val="24"/>
        </w:rPr>
        <w:t xml:space="preserve"> </w:t>
      </w:r>
      <w:r w:rsidRPr="004467E3">
        <w:rPr>
          <w:rFonts w:cs="Arial"/>
          <w:szCs w:val="24"/>
        </w:rPr>
        <w:t>e</w:t>
      </w:r>
      <w:r w:rsidRPr="004467E3">
        <w:rPr>
          <w:rFonts w:cs="Arial"/>
          <w:spacing w:val="-1"/>
          <w:szCs w:val="24"/>
        </w:rPr>
        <w:t>-</w:t>
      </w:r>
      <w:r w:rsidRPr="004467E3">
        <w:rPr>
          <w:rFonts w:cs="Arial"/>
          <w:spacing w:val="2"/>
          <w:szCs w:val="24"/>
        </w:rPr>
        <w:t>m</w:t>
      </w:r>
      <w:r w:rsidRPr="004467E3">
        <w:rPr>
          <w:rFonts w:cs="Arial"/>
          <w:szCs w:val="24"/>
        </w:rPr>
        <w:t xml:space="preserve">ail at </w:t>
      </w:r>
      <w:hyperlink r:id="rId39" w:tooltip="OALMnewsletter@mail.nih.gov" w:history="1">
        <w:r w:rsidR="00F43FDC">
          <w:rPr>
            <w:rStyle w:val="Hyperlink"/>
            <w:rFonts w:cs="Arial"/>
            <w:szCs w:val="24"/>
          </w:rPr>
          <w:t>OALMnewsletter@mail.nih.gov</w:t>
        </w:r>
      </w:hyperlink>
      <w:hyperlink>
        <w:r w:rsidR="00C801C6">
          <w:rPr>
            <w:rFonts w:cs="Arial"/>
            <w:color w:val="000000"/>
            <w:szCs w:val="24"/>
          </w:rPr>
          <w:t xml:space="preserve"> a</w:t>
        </w:r>
        <w:r w:rsidRPr="004467E3">
          <w:rPr>
            <w:rFonts w:cs="Arial"/>
            <w:color w:val="000000"/>
            <w:szCs w:val="24"/>
          </w:rPr>
          <w:t>nd</w:t>
        </w:r>
        <w:r w:rsidRPr="004467E3">
          <w:rPr>
            <w:rFonts w:cs="Arial"/>
            <w:color w:val="000000"/>
            <w:spacing w:val="-1"/>
            <w:szCs w:val="24"/>
          </w:rPr>
          <w:t xml:space="preserve"> </w:t>
        </w:r>
        <w:r w:rsidRPr="004467E3">
          <w:rPr>
            <w:rFonts w:cs="Arial"/>
            <w:color w:val="000000"/>
            <w:spacing w:val="-2"/>
            <w:szCs w:val="24"/>
          </w:rPr>
          <w:t>y</w:t>
        </w:r>
        <w:r w:rsidRPr="004467E3">
          <w:rPr>
            <w:rFonts w:cs="Arial"/>
            <w:color w:val="000000"/>
            <w:szCs w:val="24"/>
          </w:rPr>
          <w:t>ou</w:t>
        </w:r>
        <w:r w:rsidRPr="004467E3">
          <w:rPr>
            <w:rFonts w:cs="Arial"/>
            <w:color w:val="000000"/>
            <w:spacing w:val="2"/>
            <w:szCs w:val="24"/>
          </w:rPr>
          <w:t xml:space="preserve"> </w:t>
        </w:r>
        <w:r w:rsidRPr="004467E3">
          <w:rPr>
            <w:rFonts w:cs="Arial"/>
            <w:color w:val="000000"/>
            <w:spacing w:val="-3"/>
            <w:szCs w:val="24"/>
          </w:rPr>
          <w:t>w</w:t>
        </w:r>
        <w:r w:rsidRPr="004467E3">
          <w:rPr>
            <w:rFonts w:cs="Arial"/>
            <w:color w:val="000000"/>
            <w:spacing w:val="-1"/>
            <w:szCs w:val="24"/>
          </w:rPr>
          <w:t>il</w:t>
        </w:r>
        <w:r w:rsidRPr="004467E3">
          <w:rPr>
            <w:rFonts w:cs="Arial"/>
            <w:color w:val="000000"/>
            <w:szCs w:val="24"/>
          </w:rPr>
          <w:t xml:space="preserve">l be </w:t>
        </w:r>
        <w:r w:rsidRPr="004467E3">
          <w:rPr>
            <w:rFonts w:cs="Arial"/>
            <w:color w:val="000000"/>
            <w:spacing w:val="-1"/>
            <w:szCs w:val="24"/>
          </w:rPr>
          <w:t>r</w:t>
        </w:r>
        <w:r w:rsidRPr="004467E3">
          <w:rPr>
            <w:rFonts w:cs="Arial"/>
            <w:color w:val="000000"/>
            <w:szCs w:val="24"/>
          </w:rPr>
          <w:t>efe</w:t>
        </w:r>
        <w:r w:rsidRPr="004467E3">
          <w:rPr>
            <w:rFonts w:cs="Arial"/>
            <w:color w:val="000000"/>
            <w:spacing w:val="-1"/>
            <w:szCs w:val="24"/>
          </w:rPr>
          <w:t>rr</w:t>
        </w:r>
        <w:r w:rsidRPr="004467E3">
          <w:rPr>
            <w:rFonts w:cs="Arial"/>
            <w:color w:val="000000"/>
            <w:szCs w:val="24"/>
          </w:rPr>
          <w:t>ed</w:t>
        </w:r>
        <w:r w:rsidRPr="004467E3">
          <w:rPr>
            <w:rFonts w:cs="Arial"/>
            <w:color w:val="000000"/>
            <w:spacing w:val="2"/>
            <w:szCs w:val="24"/>
          </w:rPr>
          <w:t xml:space="preserve"> </w:t>
        </w:r>
        <w:r w:rsidRPr="004467E3">
          <w:rPr>
            <w:rFonts w:cs="Arial"/>
            <w:color w:val="000000"/>
            <w:spacing w:val="-2"/>
            <w:szCs w:val="24"/>
          </w:rPr>
          <w:t>t</w:t>
        </w:r>
        <w:r w:rsidRPr="004467E3">
          <w:rPr>
            <w:rFonts w:cs="Arial"/>
            <w:color w:val="000000"/>
            <w:szCs w:val="24"/>
          </w:rPr>
          <w:t>o</w:t>
        </w:r>
        <w:r w:rsidRPr="004467E3">
          <w:rPr>
            <w:rFonts w:cs="Arial"/>
            <w:color w:val="000000"/>
            <w:spacing w:val="2"/>
            <w:szCs w:val="24"/>
          </w:rPr>
          <w:t xml:space="preserve"> </w:t>
        </w:r>
        <w:r w:rsidRPr="004467E3">
          <w:rPr>
            <w:rFonts w:cs="Arial"/>
            <w:color w:val="000000"/>
            <w:szCs w:val="24"/>
          </w:rPr>
          <w:t>t</w:t>
        </w:r>
        <w:r w:rsidRPr="004467E3">
          <w:rPr>
            <w:rFonts w:cs="Arial"/>
            <w:color w:val="000000"/>
            <w:spacing w:val="-1"/>
            <w:szCs w:val="24"/>
          </w:rPr>
          <w:t>h</w:t>
        </w:r>
        <w:r w:rsidRPr="004467E3">
          <w:rPr>
            <w:rFonts w:cs="Arial"/>
            <w:color w:val="000000"/>
            <w:szCs w:val="24"/>
          </w:rPr>
          <w:t>e</w:t>
        </w:r>
        <w:r w:rsidRPr="004467E3">
          <w:rPr>
            <w:rFonts w:cs="Arial"/>
            <w:color w:val="000000"/>
            <w:spacing w:val="2"/>
            <w:szCs w:val="24"/>
          </w:rPr>
          <w:t xml:space="preserve"> </w:t>
        </w:r>
        <w:r w:rsidRPr="004467E3">
          <w:rPr>
            <w:rFonts w:cs="Arial"/>
            <w:color w:val="000000"/>
            <w:spacing w:val="-1"/>
            <w:szCs w:val="24"/>
          </w:rPr>
          <w:t>a</w:t>
        </w:r>
        <w:r w:rsidRPr="004467E3">
          <w:rPr>
            <w:rFonts w:cs="Arial"/>
            <w:color w:val="000000"/>
            <w:szCs w:val="24"/>
          </w:rPr>
          <w:t>pp</w:t>
        </w:r>
        <w:r w:rsidRPr="004467E3">
          <w:rPr>
            <w:rFonts w:cs="Arial"/>
            <w:color w:val="000000"/>
            <w:spacing w:val="-1"/>
            <w:szCs w:val="24"/>
          </w:rPr>
          <w:t>ro</w:t>
        </w:r>
        <w:r w:rsidRPr="004467E3">
          <w:rPr>
            <w:rFonts w:cs="Arial"/>
            <w:color w:val="000000"/>
            <w:szCs w:val="24"/>
          </w:rPr>
          <w:t>p</w:t>
        </w:r>
        <w:r w:rsidRPr="004467E3">
          <w:rPr>
            <w:rFonts w:cs="Arial"/>
            <w:color w:val="000000"/>
            <w:spacing w:val="-1"/>
            <w:szCs w:val="24"/>
          </w:rPr>
          <w:t>ri</w:t>
        </w:r>
        <w:r w:rsidRPr="004467E3">
          <w:rPr>
            <w:rFonts w:cs="Arial"/>
            <w:color w:val="000000"/>
            <w:szCs w:val="24"/>
          </w:rPr>
          <w:t>ate</w:t>
        </w:r>
        <w:r w:rsidRPr="004467E3">
          <w:rPr>
            <w:rFonts w:cs="Arial"/>
            <w:color w:val="000000"/>
            <w:spacing w:val="-1"/>
            <w:szCs w:val="24"/>
          </w:rPr>
          <w:t xml:space="preserve"> </w:t>
        </w:r>
        <w:r w:rsidRPr="004467E3">
          <w:rPr>
            <w:rFonts w:cs="Arial"/>
            <w:color w:val="000000"/>
            <w:szCs w:val="24"/>
          </w:rPr>
          <w:t>ed</w:t>
        </w:r>
        <w:r w:rsidRPr="004467E3">
          <w:rPr>
            <w:rFonts w:cs="Arial"/>
            <w:color w:val="000000"/>
            <w:spacing w:val="-1"/>
            <w:szCs w:val="24"/>
          </w:rPr>
          <w:t>i</w:t>
        </w:r>
        <w:r w:rsidRPr="004467E3">
          <w:rPr>
            <w:rFonts w:cs="Arial"/>
            <w:color w:val="000000"/>
            <w:szCs w:val="24"/>
          </w:rPr>
          <w:t>to</w:t>
        </w:r>
        <w:r w:rsidRPr="004467E3">
          <w:rPr>
            <w:rFonts w:cs="Arial"/>
            <w:color w:val="000000"/>
            <w:spacing w:val="-1"/>
            <w:szCs w:val="24"/>
          </w:rPr>
          <w:t>r</w:t>
        </w:r>
        <w:r w:rsidRPr="004467E3">
          <w:rPr>
            <w:rFonts w:cs="Arial"/>
            <w:color w:val="000000"/>
            <w:szCs w:val="24"/>
          </w:rPr>
          <w:t>.</w:t>
        </w:r>
      </w:hyperlink>
      <w:r w:rsidR="004467E3">
        <w:t xml:space="preserve"> </w:t>
      </w:r>
    </w:p>
    <w:sectPr w:rsidR="004C4D13" w:rsidRPr="000361C3" w:rsidSect="00A52FC9">
      <w:headerReference w:type="default" r:id="rId40"/>
      <w:footerReference w:type="defaul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222" w:rsidRDefault="00E33222" w:rsidP="004C4D13">
      <w:pPr>
        <w:spacing w:line="240" w:lineRule="auto"/>
      </w:pPr>
      <w:r>
        <w:separator/>
      </w:r>
    </w:p>
  </w:endnote>
  <w:endnote w:type="continuationSeparator" w:id="0">
    <w:p w:rsidR="00E33222" w:rsidRDefault="00E33222" w:rsidP="004C4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845244"/>
      <w:docPartObj>
        <w:docPartGallery w:val="Page Numbers (Bottom of Page)"/>
        <w:docPartUnique/>
      </w:docPartObj>
    </w:sdtPr>
    <w:sdtEndPr>
      <w:rPr>
        <w:noProof/>
      </w:rPr>
    </w:sdtEndPr>
    <w:sdtContent>
      <w:p w:rsidR="008F5D18" w:rsidRDefault="008F5D18">
        <w:pPr>
          <w:pStyle w:val="Footer"/>
          <w:jc w:val="right"/>
        </w:pPr>
        <w:r>
          <w:fldChar w:fldCharType="begin"/>
        </w:r>
        <w:r>
          <w:instrText xml:space="preserve"> PAGE   \* MERGEFORMAT </w:instrText>
        </w:r>
        <w:r>
          <w:fldChar w:fldCharType="separate"/>
        </w:r>
        <w:r w:rsidR="00AE4F9B">
          <w:rPr>
            <w:noProof/>
          </w:rPr>
          <w:t>6</w:t>
        </w:r>
        <w:r>
          <w:rPr>
            <w:noProof/>
          </w:rPr>
          <w:fldChar w:fldCharType="end"/>
        </w:r>
      </w:p>
    </w:sdtContent>
  </w:sdt>
  <w:p w:rsidR="008F5D18" w:rsidRDefault="008F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222" w:rsidRDefault="00E33222" w:rsidP="004C4D13">
      <w:pPr>
        <w:spacing w:line="240" w:lineRule="auto"/>
      </w:pPr>
      <w:r>
        <w:separator/>
      </w:r>
    </w:p>
  </w:footnote>
  <w:footnote w:type="continuationSeparator" w:id="0">
    <w:p w:rsidR="00E33222" w:rsidRDefault="00E33222" w:rsidP="004C4D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D13" w:rsidRPr="00286159" w:rsidRDefault="004C4D13" w:rsidP="00286159">
    <w:pPr>
      <w:jc w:val="center"/>
      <w:rPr>
        <w:rStyle w:val="Strong"/>
        <w:rFonts w:cs="Arial"/>
        <w:sz w:val="32"/>
        <w:szCs w:val="32"/>
      </w:rPr>
    </w:pPr>
    <w:r w:rsidRPr="00286159">
      <w:rPr>
        <w:rStyle w:val="Strong"/>
        <w:rFonts w:cs="Arial"/>
        <w:sz w:val="32"/>
        <w:szCs w:val="32"/>
      </w:rPr>
      <w:t>The Office of Acquisition and Logistics</w:t>
    </w:r>
  </w:p>
  <w:p w:rsidR="004C4D13" w:rsidRPr="00286159" w:rsidRDefault="00E2565C" w:rsidP="00286159">
    <w:pPr>
      <w:jc w:val="center"/>
      <w:rPr>
        <w:rStyle w:val="Strong"/>
        <w:rFonts w:cs="Arial"/>
        <w:sz w:val="32"/>
        <w:szCs w:val="32"/>
      </w:rPr>
    </w:pPr>
    <w:r w:rsidRPr="00286159">
      <w:rPr>
        <w:rStyle w:val="Strong"/>
        <w:rFonts w:cs="Arial"/>
        <w:sz w:val="32"/>
        <w:szCs w:val="32"/>
      </w:rPr>
      <w:t>Man</w:t>
    </w:r>
    <w:r w:rsidR="00293CD1">
      <w:rPr>
        <w:rStyle w:val="Strong"/>
        <w:rFonts w:cs="Arial"/>
        <w:sz w:val="32"/>
        <w:szCs w:val="32"/>
      </w:rPr>
      <w:t>agement Newsletter – March/April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7459"/>
    <w:multiLevelType w:val="hybridMultilevel"/>
    <w:tmpl w:val="9C48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BF5"/>
    <w:multiLevelType w:val="hybridMultilevel"/>
    <w:tmpl w:val="71843E9E"/>
    <w:lvl w:ilvl="0" w:tplc="618CA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653C24"/>
    <w:multiLevelType w:val="hybridMultilevel"/>
    <w:tmpl w:val="C840D9BE"/>
    <w:lvl w:ilvl="0" w:tplc="3AAC34F0">
      <w:start w:val="1"/>
      <w:numFmt w:val="bullet"/>
      <w:lvlText w:val=""/>
      <w:lvlJc w:val="left"/>
      <w:pPr>
        <w:tabs>
          <w:tab w:val="num" w:pos="720"/>
        </w:tabs>
        <w:ind w:left="720" w:hanging="360"/>
      </w:pPr>
      <w:rPr>
        <w:rFonts w:ascii="Wingdings" w:hAnsi="Wingdings" w:hint="default"/>
      </w:rPr>
    </w:lvl>
    <w:lvl w:ilvl="1" w:tplc="04090009">
      <w:start w:val="1"/>
      <w:numFmt w:val="bullet"/>
      <w:lvlText w:val=""/>
      <w:lvlJc w:val="left"/>
      <w:pPr>
        <w:tabs>
          <w:tab w:val="num" w:pos="1440"/>
        </w:tabs>
        <w:ind w:left="1440" w:hanging="360"/>
      </w:pPr>
      <w:rPr>
        <w:rFonts w:ascii="Wingdings" w:hAnsi="Wingdings" w:hint="default"/>
      </w:rPr>
    </w:lvl>
    <w:lvl w:ilvl="2" w:tplc="1C38E73E" w:tentative="1">
      <w:start w:val="1"/>
      <w:numFmt w:val="bullet"/>
      <w:lvlText w:val=""/>
      <w:lvlJc w:val="left"/>
      <w:pPr>
        <w:tabs>
          <w:tab w:val="num" w:pos="2160"/>
        </w:tabs>
        <w:ind w:left="2160" w:hanging="360"/>
      </w:pPr>
      <w:rPr>
        <w:rFonts w:ascii="Wingdings" w:hAnsi="Wingdings" w:hint="default"/>
      </w:rPr>
    </w:lvl>
    <w:lvl w:ilvl="3" w:tplc="B8CA986C" w:tentative="1">
      <w:start w:val="1"/>
      <w:numFmt w:val="bullet"/>
      <w:lvlText w:val=""/>
      <w:lvlJc w:val="left"/>
      <w:pPr>
        <w:tabs>
          <w:tab w:val="num" w:pos="2880"/>
        </w:tabs>
        <w:ind w:left="2880" w:hanging="360"/>
      </w:pPr>
      <w:rPr>
        <w:rFonts w:ascii="Wingdings" w:hAnsi="Wingdings" w:hint="default"/>
      </w:rPr>
    </w:lvl>
    <w:lvl w:ilvl="4" w:tplc="D944B52A" w:tentative="1">
      <w:start w:val="1"/>
      <w:numFmt w:val="bullet"/>
      <w:lvlText w:val=""/>
      <w:lvlJc w:val="left"/>
      <w:pPr>
        <w:tabs>
          <w:tab w:val="num" w:pos="3600"/>
        </w:tabs>
        <w:ind w:left="3600" w:hanging="360"/>
      </w:pPr>
      <w:rPr>
        <w:rFonts w:ascii="Wingdings" w:hAnsi="Wingdings" w:hint="default"/>
      </w:rPr>
    </w:lvl>
    <w:lvl w:ilvl="5" w:tplc="873A2814" w:tentative="1">
      <w:start w:val="1"/>
      <w:numFmt w:val="bullet"/>
      <w:lvlText w:val=""/>
      <w:lvlJc w:val="left"/>
      <w:pPr>
        <w:tabs>
          <w:tab w:val="num" w:pos="4320"/>
        </w:tabs>
        <w:ind w:left="4320" w:hanging="360"/>
      </w:pPr>
      <w:rPr>
        <w:rFonts w:ascii="Wingdings" w:hAnsi="Wingdings" w:hint="default"/>
      </w:rPr>
    </w:lvl>
    <w:lvl w:ilvl="6" w:tplc="E3D4F8BE" w:tentative="1">
      <w:start w:val="1"/>
      <w:numFmt w:val="bullet"/>
      <w:lvlText w:val=""/>
      <w:lvlJc w:val="left"/>
      <w:pPr>
        <w:tabs>
          <w:tab w:val="num" w:pos="5040"/>
        </w:tabs>
        <w:ind w:left="5040" w:hanging="360"/>
      </w:pPr>
      <w:rPr>
        <w:rFonts w:ascii="Wingdings" w:hAnsi="Wingdings" w:hint="default"/>
      </w:rPr>
    </w:lvl>
    <w:lvl w:ilvl="7" w:tplc="14903FE8" w:tentative="1">
      <w:start w:val="1"/>
      <w:numFmt w:val="bullet"/>
      <w:lvlText w:val=""/>
      <w:lvlJc w:val="left"/>
      <w:pPr>
        <w:tabs>
          <w:tab w:val="num" w:pos="5760"/>
        </w:tabs>
        <w:ind w:left="5760" w:hanging="360"/>
      </w:pPr>
      <w:rPr>
        <w:rFonts w:ascii="Wingdings" w:hAnsi="Wingdings" w:hint="default"/>
      </w:rPr>
    </w:lvl>
    <w:lvl w:ilvl="8" w:tplc="FEB036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D70EA"/>
    <w:multiLevelType w:val="hybridMultilevel"/>
    <w:tmpl w:val="FC62CE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C38E73E" w:tentative="1">
      <w:start w:val="1"/>
      <w:numFmt w:val="bullet"/>
      <w:lvlText w:val=""/>
      <w:lvlJc w:val="left"/>
      <w:pPr>
        <w:tabs>
          <w:tab w:val="num" w:pos="2160"/>
        </w:tabs>
        <w:ind w:left="2160" w:hanging="360"/>
      </w:pPr>
      <w:rPr>
        <w:rFonts w:ascii="Wingdings" w:hAnsi="Wingdings" w:hint="default"/>
      </w:rPr>
    </w:lvl>
    <w:lvl w:ilvl="3" w:tplc="B8CA986C" w:tentative="1">
      <w:start w:val="1"/>
      <w:numFmt w:val="bullet"/>
      <w:lvlText w:val=""/>
      <w:lvlJc w:val="left"/>
      <w:pPr>
        <w:tabs>
          <w:tab w:val="num" w:pos="2880"/>
        </w:tabs>
        <w:ind w:left="2880" w:hanging="360"/>
      </w:pPr>
      <w:rPr>
        <w:rFonts w:ascii="Wingdings" w:hAnsi="Wingdings" w:hint="default"/>
      </w:rPr>
    </w:lvl>
    <w:lvl w:ilvl="4" w:tplc="D944B52A" w:tentative="1">
      <w:start w:val="1"/>
      <w:numFmt w:val="bullet"/>
      <w:lvlText w:val=""/>
      <w:lvlJc w:val="left"/>
      <w:pPr>
        <w:tabs>
          <w:tab w:val="num" w:pos="3600"/>
        </w:tabs>
        <w:ind w:left="3600" w:hanging="360"/>
      </w:pPr>
      <w:rPr>
        <w:rFonts w:ascii="Wingdings" w:hAnsi="Wingdings" w:hint="default"/>
      </w:rPr>
    </w:lvl>
    <w:lvl w:ilvl="5" w:tplc="873A2814" w:tentative="1">
      <w:start w:val="1"/>
      <w:numFmt w:val="bullet"/>
      <w:lvlText w:val=""/>
      <w:lvlJc w:val="left"/>
      <w:pPr>
        <w:tabs>
          <w:tab w:val="num" w:pos="4320"/>
        </w:tabs>
        <w:ind w:left="4320" w:hanging="360"/>
      </w:pPr>
      <w:rPr>
        <w:rFonts w:ascii="Wingdings" w:hAnsi="Wingdings" w:hint="default"/>
      </w:rPr>
    </w:lvl>
    <w:lvl w:ilvl="6" w:tplc="E3D4F8BE" w:tentative="1">
      <w:start w:val="1"/>
      <w:numFmt w:val="bullet"/>
      <w:lvlText w:val=""/>
      <w:lvlJc w:val="left"/>
      <w:pPr>
        <w:tabs>
          <w:tab w:val="num" w:pos="5040"/>
        </w:tabs>
        <w:ind w:left="5040" w:hanging="360"/>
      </w:pPr>
      <w:rPr>
        <w:rFonts w:ascii="Wingdings" w:hAnsi="Wingdings" w:hint="default"/>
      </w:rPr>
    </w:lvl>
    <w:lvl w:ilvl="7" w:tplc="14903FE8" w:tentative="1">
      <w:start w:val="1"/>
      <w:numFmt w:val="bullet"/>
      <w:lvlText w:val=""/>
      <w:lvlJc w:val="left"/>
      <w:pPr>
        <w:tabs>
          <w:tab w:val="num" w:pos="5760"/>
        </w:tabs>
        <w:ind w:left="5760" w:hanging="360"/>
      </w:pPr>
      <w:rPr>
        <w:rFonts w:ascii="Wingdings" w:hAnsi="Wingdings" w:hint="default"/>
      </w:rPr>
    </w:lvl>
    <w:lvl w:ilvl="8" w:tplc="FEB036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D09F2"/>
    <w:multiLevelType w:val="multilevel"/>
    <w:tmpl w:val="ADE6F58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476CB"/>
    <w:multiLevelType w:val="hybridMultilevel"/>
    <w:tmpl w:val="2DBE2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A51E03"/>
    <w:multiLevelType w:val="hybridMultilevel"/>
    <w:tmpl w:val="5602E6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F430E5"/>
    <w:multiLevelType w:val="hybridMultilevel"/>
    <w:tmpl w:val="2B74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D7A5E"/>
    <w:multiLevelType w:val="multilevel"/>
    <w:tmpl w:val="8C840F82"/>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9" w15:restartNumberingAfterBreak="0">
    <w:nsid w:val="1FB64D9D"/>
    <w:multiLevelType w:val="hybridMultilevel"/>
    <w:tmpl w:val="B1349260"/>
    <w:lvl w:ilvl="0" w:tplc="CD968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1603F"/>
    <w:multiLevelType w:val="hybridMultilevel"/>
    <w:tmpl w:val="2D08DF5A"/>
    <w:lvl w:ilvl="0" w:tplc="4A308B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273B3"/>
    <w:multiLevelType w:val="multilevel"/>
    <w:tmpl w:val="D4987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D760C"/>
    <w:multiLevelType w:val="hybridMultilevel"/>
    <w:tmpl w:val="1D02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F8E18DC"/>
    <w:multiLevelType w:val="hybridMultilevel"/>
    <w:tmpl w:val="A862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70C52"/>
    <w:multiLevelType w:val="hybridMultilevel"/>
    <w:tmpl w:val="B3E8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CA4140"/>
    <w:multiLevelType w:val="hybridMultilevel"/>
    <w:tmpl w:val="0924E62A"/>
    <w:lvl w:ilvl="0" w:tplc="04090001">
      <w:start w:val="1"/>
      <w:numFmt w:val="bullet"/>
      <w:lvlText w:val=""/>
      <w:lvlJc w:val="left"/>
      <w:pPr>
        <w:ind w:left="720" w:hanging="360"/>
      </w:pPr>
      <w:rPr>
        <w:rFonts w:ascii="Symbol" w:hAnsi="Symbol" w:hint="default"/>
      </w:rPr>
    </w:lvl>
    <w:lvl w:ilvl="1" w:tplc="04A2117C">
      <w:start w:val="1"/>
      <w:numFmt w:val="decimal"/>
      <w:lvlText w:val="%2."/>
      <w:lvlJc w:val="left"/>
      <w:pPr>
        <w:tabs>
          <w:tab w:val="num" w:pos="1440"/>
        </w:tabs>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8B0076B"/>
    <w:multiLevelType w:val="hybridMultilevel"/>
    <w:tmpl w:val="681EC9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0D736EF"/>
    <w:multiLevelType w:val="hybridMultilevel"/>
    <w:tmpl w:val="5198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60DAC"/>
    <w:multiLevelType w:val="hybridMultilevel"/>
    <w:tmpl w:val="DA601066"/>
    <w:lvl w:ilvl="0" w:tplc="0409000F">
      <w:start w:val="1"/>
      <w:numFmt w:val="decimal"/>
      <w:lvlText w:val="%1."/>
      <w:lvlJc w:val="left"/>
      <w:pPr>
        <w:ind w:left="1080" w:hanging="360"/>
      </w:p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9" w15:restartNumberingAfterBreak="0">
    <w:nsid w:val="42E62ECD"/>
    <w:multiLevelType w:val="hybridMultilevel"/>
    <w:tmpl w:val="CF9406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39E49EE"/>
    <w:multiLevelType w:val="hybridMultilevel"/>
    <w:tmpl w:val="01E85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5424F7"/>
    <w:multiLevelType w:val="multilevel"/>
    <w:tmpl w:val="8B581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24CDF"/>
    <w:multiLevelType w:val="hybridMultilevel"/>
    <w:tmpl w:val="7F6CD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436B09"/>
    <w:multiLevelType w:val="hybridMultilevel"/>
    <w:tmpl w:val="7C343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BB9191D"/>
    <w:multiLevelType w:val="hybridMultilevel"/>
    <w:tmpl w:val="4E44E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CE66DB"/>
    <w:multiLevelType w:val="hybridMultilevel"/>
    <w:tmpl w:val="4AAE4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87043F"/>
    <w:multiLevelType w:val="multilevel"/>
    <w:tmpl w:val="3AB6B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B53DDD"/>
    <w:multiLevelType w:val="hybridMultilevel"/>
    <w:tmpl w:val="D9EE05D8"/>
    <w:lvl w:ilvl="0" w:tplc="7004D01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5286A"/>
    <w:multiLevelType w:val="hybridMultilevel"/>
    <w:tmpl w:val="525C1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907E7E"/>
    <w:multiLevelType w:val="multilevel"/>
    <w:tmpl w:val="DBBC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23"/>
  </w:num>
  <w:num w:numId="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4"/>
  </w:num>
  <w:num w:numId="14">
    <w:abstractNumId w:val="17"/>
  </w:num>
  <w:num w:numId="15">
    <w:abstractNumId w:val="25"/>
  </w:num>
  <w:num w:numId="16">
    <w:abstractNumId w:val="12"/>
  </w:num>
  <w:num w:numId="17">
    <w:abstractNumId w:val="24"/>
  </w:num>
  <w:num w:numId="18">
    <w:abstractNumId w:val="2"/>
  </w:num>
  <w:num w:numId="19">
    <w:abstractNumId w:val="27"/>
  </w:num>
  <w:num w:numId="20">
    <w:abstractNumId w:val="10"/>
  </w:num>
  <w:num w:numId="21">
    <w:abstractNumId w:val="28"/>
  </w:num>
  <w:num w:numId="22">
    <w:abstractNumId w:val="8"/>
  </w:num>
  <w:num w:numId="23">
    <w:abstractNumId w:val="5"/>
  </w:num>
  <w:num w:numId="24">
    <w:abstractNumId w:val="11"/>
  </w:num>
  <w:num w:numId="25">
    <w:abstractNumId w:val="26"/>
  </w:num>
  <w:num w:numId="26">
    <w:abstractNumId w:val="7"/>
  </w:num>
  <w:num w:numId="27">
    <w:abstractNumId w:val="21"/>
  </w:num>
  <w:num w:numId="28">
    <w:abstractNumId w:val="20"/>
  </w:num>
  <w:num w:numId="29">
    <w:abstractNumId w:val="0"/>
  </w:num>
  <w:num w:numId="30">
    <w:abstractNumId w:val="9"/>
  </w:num>
  <w:num w:numId="31">
    <w:abstractNumId w:val="1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4B"/>
    <w:rsid w:val="00002604"/>
    <w:rsid w:val="0001106C"/>
    <w:rsid w:val="00022022"/>
    <w:rsid w:val="000223DD"/>
    <w:rsid w:val="00033671"/>
    <w:rsid w:val="000361C3"/>
    <w:rsid w:val="0004570F"/>
    <w:rsid w:val="00047989"/>
    <w:rsid w:val="00050727"/>
    <w:rsid w:val="0005320C"/>
    <w:rsid w:val="00057F31"/>
    <w:rsid w:val="00062999"/>
    <w:rsid w:val="00077939"/>
    <w:rsid w:val="000872C6"/>
    <w:rsid w:val="0009579A"/>
    <w:rsid w:val="000A4676"/>
    <w:rsid w:val="000B452C"/>
    <w:rsid w:val="000B69F6"/>
    <w:rsid w:val="000E0F31"/>
    <w:rsid w:val="000E6D65"/>
    <w:rsid w:val="00102155"/>
    <w:rsid w:val="00103C13"/>
    <w:rsid w:val="001177EF"/>
    <w:rsid w:val="00124656"/>
    <w:rsid w:val="00133ECA"/>
    <w:rsid w:val="0014643C"/>
    <w:rsid w:val="00157F4B"/>
    <w:rsid w:val="00161152"/>
    <w:rsid w:val="00181C9A"/>
    <w:rsid w:val="00182B68"/>
    <w:rsid w:val="00186DCB"/>
    <w:rsid w:val="0019243F"/>
    <w:rsid w:val="00195D0D"/>
    <w:rsid w:val="001A04FE"/>
    <w:rsid w:val="001C3014"/>
    <w:rsid w:val="001C4899"/>
    <w:rsid w:val="001D6257"/>
    <w:rsid w:val="001E18F0"/>
    <w:rsid w:val="001E46E9"/>
    <w:rsid w:val="00202191"/>
    <w:rsid w:val="002041C3"/>
    <w:rsid w:val="00205673"/>
    <w:rsid w:val="0021013C"/>
    <w:rsid w:val="002130D5"/>
    <w:rsid w:val="002162FB"/>
    <w:rsid w:val="00222AC9"/>
    <w:rsid w:val="00223477"/>
    <w:rsid w:val="00224447"/>
    <w:rsid w:val="00224B63"/>
    <w:rsid w:val="00225194"/>
    <w:rsid w:val="00256521"/>
    <w:rsid w:val="00266A71"/>
    <w:rsid w:val="002720CF"/>
    <w:rsid w:val="00274EC0"/>
    <w:rsid w:val="0028238A"/>
    <w:rsid w:val="00286159"/>
    <w:rsid w:val="0029054F"/>
    <w:rsid w:val="00293CD1"/>
    <w:rsid w:val="002B132D"/>
    <w:rsid w:val="002B2B63"/>
    <w:rsid w:val="002B4ADE"/>
    <w:rsid w:val="002C7893"/>
    <w:rsid w:val="002D0BA4"/>
    <w:rsid w:val="002D35CD"/>
    <w:rsid w:val="002F1801"/>
    <w:rsid w:val="002F4F65"/>
    <w:rsid w:val="00305C96"/>
    <w:rsid w:val="00325AF4"/>
    <w:rsid w:val="00336E96"/>
    <w:rsid w:val="00347ABA"/>
    <w:rsid w:val="00353720"/>
    <w:rsid w:val="00390A23"/>
    <w:rsid w:val="00396F04"/>
    <w:rsid w:val="003B34FC"/>
    <w:rsid w:val="003B5A1D"/>
    <w:rsid w:val="003C3E63"/>
    <w:rsid w:val="003D43CA"/>
    <w:rsid w:val="003E673E"/>
    <w:rsid w:val="003F2433"/>
    <w:rsid w:val="00407611"/>
    <w:rsid w:val="004100ED"/>
    <w:rsid w:val="00424617"/>
    <w:rsid w:val="00436EE6"/>
    <w:rsid w:val="00444367"/>
    <w:rsid w:val="004467E3"/>
    <w:rsid w:val="004621FD"/>
    <w:rsid w:val="00476F79"/>
    <w:rsid w:val="00481870"/>
    <w:rsid w:val="00483192"/>
    <w:rsid w:val="0048724A"/>
    <w:rsid w:val="004A361A"/>
    <w:rsid w:val="004B22C5"/>
    <w:rsid w:val="004C4D13"/>
    <w:rsid w:val="004C75A2"/>
    <w:rsid w:val="004D1137"/>
    <w:rsid w:val="004E6C0D"/>
    <w:rsid w:val="004F6B7C"/>
    <w:rsid w:val="005123B0"/>
    <w:rsid w:val="00521C0A"/>
    <w:rsid w:val="00537801"/>
    <w:rsid w:val="00545AFA"/>
    <w:rsid w:val="005635ED"/>
    <w:rsid w:val="00572F07"/>
    <w:rsid w:val="00590353"/>
    <w:rsid w:val="005A0FCF"/>
    <w:rsid w:val="005A1A72"/>
    <w:rsid w:val="005A5439"/>
    <w:rsid w:val="005B6EA7"/>
    <w:rsid w:val="005C1E6B"/>
    <w:rsid w:val="005C44F4"/>
    <w:rsid w:val="005D0FA0"/>
    <w:rsid w:val="005E1466"/>
    <w:rsid w:val="006075DF"/>
    <w:rsid w:val="00614465"/>
    <w:rsid w:val="00622AE1"/>
    <w:rsid w:val="0064119E"/>
    <w:rsid w:val="00644384"/>
    <w:rsid w:val="00645B87"/>
    <w:rsid w:val="0064639F"/>
    <w:rsid w:val="00652490"/>
    <w:rsid w:val="00685014"/>
    <w:rsid w:val="006B3EF9"/>
    <w:rsid w:val="006B6BC3"/>
    <w:rsid w:val="006D23CC"/>
    <w:rsid w:val="006D3B0E"/>
    <w:rsid w:val="006D602A"/>
    <w:rsid w:val="006E3E2C"/>
    <w:rsid w:val="00707B38"/>
    <w:rsid w:val="00710FE2"/>
    <w:rsid w:val="00722A8A"/>
    <w:rsid w:val="007277DF"/>
    <w:rsid w:val="007358B5"/>
    <w:rsid w:val="007358D0"/>
    <w:rsid w:val="00740C13"/>
    <w:rsid w:val="00774A1A"/>
    <w:rsid w:val="00787E4C"/>
    <w:rsid w:val="007A62B1"/>
    <w:rsid w:val="007A779E"/>
    <w:rsid w:val="007B6C67"/>
    <w:rsid w:val="007B777C"/>
    <w:rsid w:val="007C6655"/>
    <w:rsid w:val="007D229F"/>
    <w:rsid w:val="007E3A33"/>
    <w:rsid w:val="007F2B23"/>
    <w:rsid w:val="00812776"/>
    <w:rsid w:val="00823582"/>
    <w:rsid w:val="00847BF0"/>
    <w:rsid w:val="00856EE2"/>
    <w:rsid w:val="00885F24"/>
    <w:rsid w:val="008A3376"/>
    <w:rsid w:val="008A43A0"/>
    <w:rsid w:val="008B1FF2"/>
    <w:rsid w:val="008B246D"/>
    <w:rsid w:val="008C3C0E"/>
    <w:rsid w:val="008C407D"/>
    <w:rsid w:val="008D1BB4"/>
    <w:rsid w:val="008D1E2E"/>
    <w:rsid w:val="008E114B"/>
    <w:rsid w:val="008E772B"/>
    <w:rsid w:val="008F0811"/>
    <w:rsid w:val="008F5D18"/>
    <w:rsid w:val="008F5E6E"/>
    <w:rsid w:val="00900E72"/>
    <w:rsid w:val="00910625"/>
    <w:rsid w:val="0092122E"/>
    <w:rsid w:val="0092465C"/>
    <w:rsid w:val="00925EF7"/>
    <w:rsid w:val="00943AFF"/>
    <w:rsid w:val="009537CC"/>
    <w:rsid w:val="00964D79"/>
    <w:rsid w:val="0097157F"/>
    <w:rsid w:val="009872BE"/>
    <w:rsid w:val="009A0FC0"/>
    <w:rsid w:val="009B16AB"/>
    <w:rsid w:val="009C67C6"/>
    <w:rsid w:val="009C7092"/>
    <w:rsid w:val="009E039D"/>
    <w:rsid w:val="009E13EA"/>
    <w:rsid w:val="009E3B9B"/>
    <w:rsid w:val="009E5759"/>
    <w:rsid w:val="00A06E07"/>
    <w:rsid w:val="00A11350"/>
    <w:rsid w:val="00A1533D"/>
    <w:rsid w:val="00A15EF4"/>
    <w:rsid w:val="00A20808"/>
    <w:rsid w:val="00A23CEE"/>
    <w:rsid w:val="00A27726"/>
    <w:rsid w:val="00A3429A"/>
    <w:rsid w:val="00A421F1"/>
    <w:rsid w:val="00A50405"/>
    <w:rsid w:val="00A52FC9"/>
    <w:rsid w:val="00A627A3"/>
    <w:rsid w:val="00A65861"/>
    <w:rsid w:val="00A7411E"/>
    <w:rsid w:val="00A74716"/>
    <w:rsid w:val="00A764C1"/>
    <w:rsid w:val="00A8001D"/>
    <w:rsid w:val="00A83F16"/>
    <w:rsid w:val="00A94A3D"/>
    <w:rsid w:val="00AB3D46"/>
    <w:rsid w:val="00AB5972"/>
    <w:rsid w:val="00AD6B95"/>
    <w:rsid w:val="00AE42E7"/>
    <w:rsid w:val="00AE4F9B"/>
    <w:rsid w:val="00AE50D9"/>
    <w:rsid w:val="00AE76D4"/>
    <w:rsid w:val="00AF1B9C"/>
    <w:rsid w:val="00B14F31"/>
    <w:rsid w:val="00B2475F"/>
    <w:rsid w:val="00B56D37"/>
    <w:rsid w:val="00B731C5"/>
    <w:rsid w:val="00B7565F"/>
    <w:rsid w:val="00B76413"/>
    <w:rsid w:val="00B77D4B"/>
    <w:rsid w:val="00B93478"/>
    <w:rsid w:val="00BA213C"/>
    <w:rsid w:val="00BA6EC1"/>
    <w:rsid w:val="00BC2BBB"/>
    <w:rsid w:val="00BD16C9"/>
    <w:rsid w:val="00BD2C59"/>
    <w:rsid w:val="00BD5F77"/>
    <w:rsid w:val="00BD6E61"/>
    <w:rsid w:val="00C0583B"/>
    <w:rsid w:val="00C159DF"/>
    <w:rsid w:val="00C21179"/>
    <w:rsid w:val="00C57A92"/>
    <w:rsid w:val="00C61098"/>
    <w:rsid w:val="00C62436"/>
    <w:rsid w:val="00C66CE4"/>
    <w:rsid w:val="00C76584"/>
    <w:rsid w:val="00C801C6"/>
    <w:rsid w:val="00C85BC4"/>
    <w:rsid w:val="00C97282"/>
    <w:rsid w:val="00CB0147"/>
    <w:rsid w:val="00CB0566"/>
    <w:rsid w:val="00CB0730"/>
    <w:rsid w:val="00CB3E2A"/>
    <w:rsid w:val="00CB4A00"/>
    <w:rsid w:val="00CC49D7"/>
    <w:rsid w:val="00CD0B94"/>
    <w:rsid w:val="00CD25B5"/>
    <w:rsid w:val="00CE59DF"/>
    <w:rsid w:val="00CE6DFA"/>
    <w:rsid w:val="00CF49B4"/>
    <w:rsid w:val="00CF4FE5"/>
    <w:rsid w:val="00CF60EB"/>
    <w:rsid w:val="00CF797E"/>
    <w:rsid w:val="00D017F9"/>
    <w:rsid w:val="00D11A0D"/>
    <w:rsid w:val="00D20FC8"/>
    <w:rsid w:val="00D47F5C"/>
    <w:rsid w:val="00D60026"/>
    <w:rsid w:val="00D64BA2"/>
    <w:rsid w:val="00D708F2"/>
    <w:rsid w:val="00D91B77"/>
    <w:rsid w:val="00DB5C06"/>
    <w:rsid w:val="00DE33A6"/>
    <w:rsid w:val="00DF1B0D"/>
    <w:rsid w:val="00E0070D"/>
    <w:rsid w:val="00E10A86"/>
    <w:rsid w:val="00E2565C"/>
    <w:rsid w:val="00E25F52"/>
    <w:rsid w:val="00E27CA2"/>
    <w:rsid w:val="00E33222"/>
    <w:rsid w:val="00E54FA6"/>
    <w:rsid w:val="00E71516"/>
    <w:rsid w:val="00E85557"/>
    <w:rsid w:val="00E868F6"/>
    <w:rsid w:val="00E9021B"/>
    <w:rsid w:val="00E911F6"/>
    <w:rsid w:val="00EA0403"/>
    <w:rsid w:val="00EB4D2A"/>
    <w:rsid w:val="00EB58E3"/>
    <w:rsid w:val="00EC0E19"/>
    <w:rsid w:val="00EE3010"/>
    <w:rsid w:val="00F419AD"/>
    <w:rsid w:val="00F43FDC"/>
    <w:rsid w:val="00F44AB6"/>
    <w:rsid w:val="00F476C0"/>
    <w:rsid w:val="00F51FC6"/>
    <w:rsid w:val="00F537BE"/>
    <w:rsid w:val="00F60880"/>
    <w:rsid w:val="00F6334C"/>
    <w:rsid w:val="00F64387"/>
    <w:rsid w:val="00F7607F"/>
    <w:rsid w:val="00F84A23"/>
    <w:rsid w:val="00F8658C"/>
    <w:rsid w:val="00F94A4D"/>
    <w:rsid w:val="00FA286A"/>
    <w:rsid w:val="00FA5C92"/>
    <w:rsid w:val="00FC4128"/>
    <w:rsid w:val="00FC4340"/>
    <w:rsid w:val="00FE1B98"/>
    <w:rsid w:val="00FF5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A726"/>
  <w15:chartTrackingRefBased/>
  <w15:docId w15:val="{FBB7FDD2-BE49-432E-8B65-94366249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32D"/>
    <w:pPr>
      <w:spacing w:after="0"/>
    </w:pPr>
    <w:rPr>
      <w:rFonts w:ascii="Arial" w:hAnsi="Arial"/>
      <w:sz w:val="24"/>
    </w:rPr>
  </w:style>
  <w:style w:type="paragraph" w:styleId="Heading1">
    <w:name w:val="heading 1"/>
    <w:basedOn w:val="Normal"/>
    <w:next w:val="Normal"/>
    <w:link w:val="Heading1Char"/>
    <w:uiPriority w:val="9"/>
    <w:qFormat/>
    <w:rsid w:val="00C0583B"/>
    <w:pPr>
      <w:spacing w:before="480" w:line="276" w:lineRule="auto"/>
      <w:contextualSpacing/>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C66C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B6C6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3B"/>
    <w:rPr>
      <w:rFonts w:ascii="Arial" w:eastAsiaTheme="majorEastAsia" w:hAnsi="Arial" w:cstheme="majorBidi"/>
      <w:b/>
      <w:bCs/>
      <w:sz w:val="32"/>
      <w:szCs w:val="28"/>
    </w:rPr>
  </w:style>
  <w:style w:type="character" w:styleId="Hyperlink">
    <w:name w:val="Hyperlink"/>
    <w:basedOn w:val="DefaultParagraphFont"/>
    <w:uiPriority w:val="99"/>
    <w:unhideWhenUsed/>
    <w:rsid w:val="00157F4B"/>
    <w:rPr>
      <w:color w:val="0563C1" w:themeColor="hyperlink"/>
      <w:u w:val="single"/>
    </w:rPr>
  </w:style>
  <w:style w:type="paragraph" w:styleId="ListParagraph">
    <w:name w:val="List Paragraph"/>
    <w:basedOn w:val="Normal"/>
    <w:uiPriority w:val="34"/>
    <w:qFormat/>
    <w:rsid w:val="00157F4B"/>
    <w:pPr>
      <w:spacing w:line="240" w:lineRule="auto"/>
      <w:ind w:left="720"/>
      <w:contextualSpacing/>
    </w:pPr>
    <w:rPr>
      <w:rFonts w:eastAsiaTheme="minorEastAsia"/>
      <w:szCs w:val="24"/>
    </w:rPr>
  </w:style>
  <w:style w:type="paragraph" w:styleId="NormalWeb">
    <w:name w:val="Normal (Web)"/>
    <w:basedOn w:val="Normal"/>
    <w:uiPriority w:val="99"/>
    <w:unhideWhenUsed/>
    <w:rsid w:val="004C4D13"/>
    <w:pPr>
      <w:spacing w:before="100" w:beforeAutospacing="1" w:after="100" w:afterAutospacing="1" w:line="240" w:lineRule="auto"/>
    </w:pPr>
    <w:rPr>
      <w:rFonts w:ascii="Times New Roman" w:eastAsia="Calibri" w:hAnsi="Times New Roman" w:cs="Times New Roman"/>
      <w:szCs w:val="24"/>
    </w:rPr>
  </w:style>
  <w:style w:type="paragraph" w:styleId="Header">
    <w:name w:val="header"/>
    <w:basedOn w:val="Normal"/>
    <w:link w:val="HeaderChar"/>
    <w:uiPriority w:val="99"/>
    <w:unhideWhenUsed/>
    <w:rsid w:val="004C4D13"/>
    <w:pPr>
      <w:tabs>
        <w:tab w:val="center" w:pos="4680"/>
        <w:tab w:val="right" w:pos="9360"/>
      </w:tabs>
      <w:spacing w:line="240" w:lineRule="auto"/>
    </w:pPr>
  </w:style>
  <w:style w:type="character" w:customStyle="1" w:styleId="HeaderChar">
    <w:name w:val="Header Char"/>
    <w:basedOn w:val="DefaultParagraphFont"/>
    <w:link w:val="Header"/>
    <w:uiPriority w:val="99"/>
    <w:rsid w:val="004C4D13"/>
  </w:style>
  <w:style w:type="paragraph" w:styleId="Footer">
    <w:name w:val="footer"/>
    <w:basedOn w:val="Normal"/>
    <w:link w:val="FooterChar"/>
    <w:uiPriority w:val="99"/>
    <w:unhideWhenUsed/>
    <w:rsid w:val="004C4D13"/>
    <w:pPr>
      <w:tabs>
        <w:tab w:val="center" w:pos="4680"/>
        <w:tab w:val="right" w:pos="9360"/>
      </w:tabs>
      <w:spacing w:line="240" w:lineRule="auto"/>
    </w:pPr>
  </w:style>
  <w:style w:type="character" w:customStyle="1" w:styleId="FooterChar">
    <w:name w:val="Footer Char"/>
    <w:basedOn w:val="DefaultParagraphFont"/>
    <w:link w:val="Footer"/>
    <w:uiPriority w:val="99"/>
    <w:rsid w:val="004C4D13"/>
  </w:style>
  <w:style w:type="character" w:styleId="FollowedHyperlink">
    <w:name w:val="FollowedHyperlink"/>
    <w:basedOn w:val="DefaultParagraphFont"/>
    <w:uiPriority w:val="99"/>
    <w:semiHidden/>
    <w:unhideWhenUsed/>
    <w:rsid w:val="00B76413"/>
    <w:rPr>
      <w:color w:val="954F72" w:themeColor="followedHyperlink"/>
      <w:u w:val="single"/>
    </w:rPr>
  </w:style>
  <w:style w:type="paragraph" w:styleId="BalloonText">
    <w:name w:val="Balloon Text"/>
    <w:basedOn w:val="Normal"/>
    <w:link w:val="BalloonTextChar"/>
    <w:uiPriority w:val="99"/>
    <w:semiHidden/>
    <w:unhideWhenUsed/>
    <w:rsid w:val="00CD0B9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B94"/>
    <w:rPr>
      <w:rFonts w:ascii="Segoe UI" w:hAnsi="Segoe UI" w:cs="Segoe UI"/>
      <w:sz w:val="18"/>
      <w:szCs w:val="18"/>
    </w:rPr>
  </w:style>
  <w:style w:type="paragraph" w:styleId="CommentText">
    <w:name w:val="annotation text"/>
    <w:basedOn w:val="Normal"/>
    <w:link w:val="CommentTextChar"/>
    <w:uiPriority w:val="99"/>
    <w:semiHidden/>
    <w:unhideWhenUsed/>
    <w:rsid w:val="00EB4D2A"/>
    <w:pPr>
      <w:spacing w:line="240" w:lineRule="auto"/>
    </w:pPr>
    <w:rPr>
      <w:sz w:val="20"/>
      <w:szCs w:val="20"/>
    </w:rPr>
  </w:style>
  <w:style w:type="character" w:customStyle="1" w:styleId="CommentTextChar">
    <w:name w:val="Comment Text Char"/>
    <w:basedOn w:val="DefaultParagraphFont"/>
    <w:link w:val="CommentText"/>
    <w:uiPriority w:val="99"/>
    <w:semiHidden/>
    <w:rsid w:val="00EB4D2A"/>
    <w:rPr>
      <w:sz w:val="20"/>
      <w:szCs w:val="20"/>
    </w:rPr>
  </w:style>
  <w:style w:type="character" w:styleId="Strong">
    <w:name w:val="Strong"/>
    <w:basedOn w:val="DefaultParagraphFont"/>
    <w:uiPriority w:val="22"/>
    <w:qFormat/>
    <w:rsid w:val="00943AFF"/>
    <w:rPr>
      <w:b/>
      <w:bCs/>
    </w:rPr>
  </w:style>
  <w:style w:type="character" w:customStyle="1" w:styleId="Heading3Char">
    <w:name w:val="Heading 3 Char"/>
    <w:basedOn w:val="DefaultParagraphFont"/>
    <w:link w:val="Heading3"/>
    <w:uiPriority w:val="9"/>
    <w:semiHidden/>
    <w:rsid w:val="007B6C67"/>
    <w:rPr>
      <w:rFonts w:asciiTheme="majorHAnsi" w:eastAsiaTheme="majorEastAsia" w:hAnsiTheme="majorHAnsi" w:cstheme="majorBidi"/>
      <w:color w:val="1F4D78" w:themeColor="accent1" w:themeShade="7F"/>
      <w:sz w:val="24"/>
      <w:szCs w:val="24"/>
    </w:rPr>
  </w:style>
  <w:style w:type="character" w:customStyle="1" w:styleId="amendmentparttext">
    <w:name w:val="amendment_part_text"/>
    <w:basedOn w:val="DefaultParagraphFont"/>
    <w:rsid w:val="007B6C67"/>
  </w:style>
  <w:style w:type="character" w:styleId="IntenseReference">
    <w:name w:val="Intense Reference"/>
    <w:basedOn w:val="DefaultParagraphFont"/>
    <w:uiPriority w:val="32"/>
    <w:qFormat/>
    <w:rsid w:val="00C0583B"/>
    <w:rPr>
      <w:rFonts w:ascii="Arial" w:hAnsi="Arial"/>
      <w:b/>
      <w:bCs/>
      <w:caps w:val="0"/>
      <w:smallCaps w:val="0"/>
      <w:color w:val="auto"/>
      <w:spacing w:val="5"/>
      <w:sz w:val="24"/>
      <w:u w:val="single"/>
    </w:rPr>
  </w:style>
  <w:style w:type="paragraph" w:customStyle="1" w:styleId="Default">
    <w:name w:val="Default"/>
    <w:rsid w:val="007C66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66CE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E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E0F31"/>
    <w:rPr>
      <w:i/>
      <w:iCs/>
    </w:rPr>
  </w:style>
  <w:style w:type="paragraph" w:styleId="Revision">
    <w:name w:val="Revision"/>
    <w:hidden/>
    <w:uiPriority w:val="99"/>
    <w:semiHidden/>
    <w:rsid w:val="00DB5C06"/>
    <w:pPr>
      <w:spacing w:after="0" w:line="240" w:lineRule="auto"/>
    </w:pPr>
    <w:rPr>
      <w:rFonts w:ascii="Arial" w:hAnsi="Arial"/>
      <w:sz w:val="24"/>
    </w:rPr>
  </w:style>
  <w:style w:type="character" w:customStyle="1" w:styleId="Mention1">
    <w:name w:val="Mention1"/>
    <w:basedOn w:val="DefaultParagraphFont"/>
    <w:uiPriority w:val="99"/>
    <w:semiHidden/>
    <w:unhideWhenUsed/>
    <w:rsid w:val="007358B5"/>
    <w:rPr>
      <w:color w:val="2B579A"/>
      <w:shd w:val="clear" w:color="auto" w:fill="E6E6E6"/>
    </w:rPr>
  </w:style>
  <w:style w:type="table" w:styleId="GridTable1Light">
    <w:name w:val="Grid Table 1 Light"/>
    <w:basedOn w:val="TableNormal"/>
    <w:uiPriority w:val="46"/>
    <w:rsid w:val="009B16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B05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3482">
      <w:bodyDiv w:val="1"/>
      <w:marLeft w:val="0"/>
      <w:marRight w:val="0"/>
      <w:marTop w:val="0"/>
      <w:marBottom w:val="0"/>
      <w:divBdr>
        <w:top w:val="none" w:sz="0" w:space="0" w:color="auto"/>
        <w:left w:val="none" w:sz="0" w:space="0" w:color="auto"/>
        <w:bottom w:val="none" w:sz="0" w:space="0" w:color="auto"/>
        <w:right w:val="none" w:sz="0" w:space="0" w:color="auto"/>
      </w:divBdr>
    </w:div>
    <w:div w:id="96754636">
      <w:bodyDiv w:val="1"/>
      <w:marLeft w:val="0"/>
      <w:marRight w:val="0"/>
      <w:marTop w:val="0"/>
      <w:marBottom w:val="0"/>
      <w:divBdr>
        <w:top w:val="none" w:sz="0" w:space="0" w:color="auto"/>
        <w:left w:val="none" w:sz="0" w:space="0" w:color="auto"/>
        <w:bottom w:val="none" w:sz="0" w:space="0" w:color="auto"/>
        <w:right w:val="none" w:sz="0" w:space="0" w:color="auto"/>
      </w:divBdr>
    </w:div>
    <w:div w:id="124589635">
      <w:bodyDiv w:val="1"/>
      <w:marLeft w:val="0"/>
      <w:marRight w:val="0"/>
      <w:marTop w:val="0"/>
      <w:marBottom w:val="0"/>
      <w:divBdr>
        <w:top w:val="none" w:sz="0" w:space="0" w:color="auto"/>
        <w:left w:val="none" w:sz="0" w:space="0" w:color="auto"/>
        <w:bottom w:val="none" w:sz="0" w:space="0" w:color="auto"/>
        <w:right w:val="none" w:sz="0" w:space="0" w:color="auto"/>
      </w:divBdr>
    </w:div>
    <w:div w:id="210187870">
      <w:bodyDiv w:val="1"/>
      <w:marLeft w:val="0"/>
      <w:marRight w:val="0"/>
      <w:marTop w:val="0"/>
      <w:marBottom w:val="0"/>
      <w:divBdr>
        <w:top w:val="none" w:sz="0" w:space="0" w:color="auto"/>
        <w:left w:val="none" w:sz="0" w:space="0" w:color="auto"/>
        <w:bottom w:val="none" w:sz="0" w:space="0" w:color="auto"/>
        <w:right w:val="none" w:sz="0" w:space="0" w:color="auto"/>
      </w:divBdr>
    </w:div>
    <w:div w:id="226958295">
      <w:bodyDiv w:val="1"/>
      <w:marLeft w:val="0"/>
      <w:marRight w:val="0"/>
      <w:marTop w:val="0"/>
      <w:marBottom w:val="0"/>
      <w:divBdr>
        <w:top w:val="none" w:sz="0" w:space="0" w:color="auto"/>
        <w:left w:val="none" w:sz="0" w:space="0" w:color="auto"/>
        <w:bottom w:val="none" w:sz="0" w:space="0" w:color="auto"/>
        <w:right w:val="none" w:sz="0" w:space="0" w:color="auto"/>
      </w:divBdr>
    </w:div>
    <w:div w:id="307176211">
      <w:bodyDiv w:val="1"/>
      <w:marLeft w:val="0"/>
      <w:marRight w:val="0"/>
      <w:marTop w:val="0"/>
      <w:marBottom w:val="0"/>
      <w:divBdr>
        <w:top w:val="none" w:sz="0" w:space="0" w:color="auto"/>
        <w:left w:val="none" w:sz="0" w:space="0" w:color="auto"/>
        <w:bottom w:val="none" w:sz="0" w:space="0" w:color="auto"/>
        <w:right w:val="none" w:sz="0" w:space="0" w:color="auto"/>
      </w:divBdr>
    </w:div>
    <w:div w:id="327487898">
      <w:bodyDiv w:val="1"/>
      <w:marLeft w:val="0"/>
      <w:marRight w:val="0"/>
      <w:marTop w:val="0"/>
      <w:marBottom w:val="0"/>
      <w:divBdr>
        <w:top w:val="none" w:sz="0" w:space="0" w:color="auto"/>
        <w:left w:val="none" w:sz="0" w:space="0" w:color="auto"/>
        <w:bottom w:val="none" w:sz="0" w:space="0" w:color="auto"/>
        <w:right w:val="none" w:sz="0" w:space="0" w:color="auto"/>
      </w:divBdr>
    </w:div>
    <w:div w:id="384793812">
      <w:bodyDiv w:val="1"/>
      <w:marLeft w:val="0"/>
      <w:marRight w:val="0"/>
      <w:marTop w:val="0"/>
      <w:marBottom w:val="0"/>
      <w:divBdr>
        <w:top w:val="none" w:sz="0" w:space="0" w:color="auto"/>
        <w:left w:val="none" w:sz="0" w:space="0" w:color="auto"/>
        <w:bottom w:val="none" w:sz="0" w:space="0" w:color="auto"/>
        <w:right w:val="none" w:sz="0" w:space="0" w:color="auto"/>
      </w:divBdr>
    </w:div>
    <w:div w:id="443502530">
      <w:bodyDiv w:val="1"/>
      <w:marLeft w:val="0"/>
      <w:marRight w:val="0"/>
      <w:marTop w:val="0"/>
      <w:marBottom w:val="0"/>
      <w:divBdr>
        <w:top w:val="none" w:sz="0" w:space="0" w:color="auto"/>
        <w:left w:val="none" w:sz="0" w:space="0" w:color="auto"/>
        <w:bottom w:val="none" w:sz="0" w:space="0" w:color="auto"/>
        <w:right w:val="none" w:sz="0" w:space="0" w:color="auto"/>
      </w:divBdr>
    </w:div>
    <w:div w:id="478692958">
      <w:bodyDiv w:val="1"/>
      <w:marLeft w:val="0"/>
      <w:marRight w:val="0"/>
      <w:marTop w:val="0"/>
      <w:marBottom w:val="0"/>
      <w:divBdr>
        <w:top w:val="none" w:sz="0" w:space="0" w:color="auto"/>
        <w:left w:val="none" w:sz="0" w:space="0" w:color="auto"/>
        <w:bottom w:val="none" w:sz="0" w:space="0" w:color="auto"/>
        <w:right w:val="none" w:sz="0" w:space="0" w:color="auto"/>
      </w:divBdr>
    </w:div>
    <w:div w:id="500586587">
      <w:bodyDiv w:val="1"/>
      <w:marLeft w:val="0"/>
      <w:marRight w:val="0"/>
      <w:marTop w:val="0"/>
      <w:marBottom w:val="0"/>
      <w:divBdr>
        <w:top w:val="none" w:sz="0" w:space="0" w:color="auto"/>
        <w:left w:val="none" w:sz="0" w:space="0" w:color="auto"/>
        <w:bottom w:val="none" w:sz="0" w:space="0" w:color="auto"/>
        <w:right w:val="none" w:sz="0" w:space="0" w:color="auto"/>
      </w:divBdr>
    </w:div>
    <w:div w:id="676926939">
      <w:bodyDiv w:val="1"/>
      <w:marLeft w:val="0"/>
      <w:marRight w:val="0"/>
      <w:marTop w:val="0"/>
      <w:marBottom w:val="0"/>
      <w:divBdr>
        <w:top w:val="none" w:sz="0" w:space="0" w:color="auto"/>
        <w:left w:val="none" w:sz="0" w:space="0" w:color="auto"/>
        <w:bottom w:val="none" w:sz="0" w:space="0" w:color="auto"/>
        <w:right w:val="none" w:sz="0" w:space="0" w:color="auto"/>
      </w:divBdr>
    </w:div>
    <w:div w:id="798647142">
      <w:bodyDiv w:val="1"/>
      <w:marLeft w:val="0"/>
      <w:marRight w:val="0"/>
      <w:marTop w:val="0"/>
      <w:marBottom w:val="0"/>
      <w:divBdr>
        <w:top w:val="none" w:sz="0" w:space="0" w:color="auto"/>
        <w:left w:val="none" w:sz="0" w:space="0" w:color="auto"/>
        <w:bottom w:val="none" w:sz="0" w:space="0" w:color="auto"/>
        <w:right w:val="none" w:sz="0" w:space="0" w:color="auto"/>
      </w:divBdr>
    </w:div>
    <w:div w:id="851335452">
      <w:bodyDiv w:val="1"/>
      <w:marLeft w:val="0"/>
      <w:marRight w:val="0"/>
      <w:marTop w:val="0"/>
      <w:marBottom w:val="0"/>
      <w:divBdr>
        <w:top w:val="none" w:sz="0" w:space="0" w:color="auto"/>
        <w:left w:val="none" w:sz="0" w:space="0" w:color="auto"/>
        <w:bottom w:val="none" w:sz="0" w:space="0" w:color="auto"/>
        <w:right w:val="none" w:sz="0" w:space="0" w:color="auto"/>
      </w:divBdr>
    </w:div>
    <w:div w:id="877276491">
      <w:bodyDiv w:val="1"/>
      <w:marLeft w:val="0"/>
      <w:marRight w:val="0"/>
      <w:marTop w:val="0"/>
      <w:marBottom w:val="0"/>
      <w:divBdr>
        <w:top w:val="none" w:sz="0" w:space="0" w:color="auto"/>
        <w:left w:val="none" w:sz="0" w:space="0" w:color="auto"/>
        <w:bottom w:val="none" w:sz="0" w:space="0" w:color="auto"/>
        <w:right w:val="none" w:sz="0" w:space="0" w:color="auto"/>
      </w:divBdr>
    </w:div>
    <w:div w:id="981814000">
      <w:bodyDiv w:val="1"/>
      <w:marLeft w:val="0"/>
      <w:marRight w:val="0"/>
      <w:marTop w:val="0"/>
      <w:marBottom w:val="0"/>
      <w:divBdr>
        <w:top w:val="none" w:sz="0" w:space="0" w:color="auto"/>
        <w:left w:val="none" w:sz="0" w:space="0" w:color="auto"/>
        <w:bottom w:val="none" w:sz="0" w:space="0" w:color="auto"/>
        <w:right w:val="none" w:sz="0" w:space="0" w:color="auto"/>
      </w:divBdr>
    </w:div>
    <w:div w:id="1043673268">
      <w:bodyDiv w:val="1"/>
      <w:marLeft w:val="0"/>
      <w:marRight w:val="0"/>
      <w:marTop w:val="0"/>
      <w:marBottom w:val="0"/>
      <w:divBdr>
        <w:top w:val="none" w:sz="0" w:space="0" w:color="auto"/>
        <w:left w:val="none" w:sz="0" w:space="0" w:color="auto"/>
        <w:bottom w:val="none" w:sz="0" w:space="0" w:color="auto"/>
        <w:right w:val="none" w:sz="0" w:space="0" w:color="auto"/>
      </w:divBdr>
    </w:div>
    <w:div w:id="1064914852">
      <w:bodyDiv w:val="1"/>
      <w:marLeft w:val="0"/>
      <w:marRight w:val="0"/>
      <w:marTop w:val="0"/>
      <w:marBottom w:val="0"/>
      <w:divBdr>
        <w:top w:val="none" w:sz="0" w:space="0" w:color="auto"/>
        <w:left w:val="none" w:sz="0" w:space="0" w:color="auto"/>
        <w:bottom w:val="none" w:sz="0" w:space="0" w:color="auto"/>
        <w:right w:val="none" w:sz="0" w:space="0" w:color="auto"/>
      </w:divBdr>
    </w:div>
    <w:div w:id="1105271682">
      <w:bodyDiv w:val="1"/>
      <w:marLeft w:val="0"/>
      <w:marRight w:val="0"/>
      <w:marTop w:val="0"/>
      <w:marBottom w:val="0"/>
      <w:divBdr>
        <w:top w:val="none" w:sz="0" w:space="0" w:color="auto"/>
        <w:left w:val="none" w:sz="0" w:space="0" w:color="auto"/>
        <w:bottom w:val="none" w:sz="0" w:space="0" w:color="auto"/>
        <w:right w:val="none" w:sz="0" w:space="0" w:color="auto"/>
      </w:divBdr>
    </w:div>
    <w:div w:id="1116220957">
      <w:bodyDiv w:val="1"/>
      <w:marLeft w:val="0"/>
      <w:marRight w:val="0"/>
      <w:marTop w:val="0"/>
      <w:marBottom w:val="0"/>
      <w:divBdr>
        <w:top w:val="none" w:sz="0" w:space="0" w:color="auto"/>
        <w:left w:val="none" w:sz="0" w:space="0" w:color="auto"/>
        <w:bottom w:val="none" w:sz="0" w:space="0" w:color="auto"/>
        <w:right w:val="none" w:sz="0" w:space="0" w:color="auto"/>
      </w:divBdr>
      <w:divsChild>
        <w:div w:id="1730960535">
          <w:marLeft w:val="0"/>
          <w:marRight w:val="0"/>
          <w:marTop w:val="0"/>
          <w:marBottom w:val="0"/>
          <w:divBdr>
            <w:top w:val="none" w:sz="0" w:space="0" w:color="auto"/>
            <w:left w:val="none" w:sz="0" w:space="0" w:color="auto"/>
            <w:bottom w:val="none" w:sz="0" w:space="0" w:color="auto"/>
            <w:right w:val="none" w:sz="0" w:space="0" w:color="auto"/>
          </w:divBdr>
          <w:divsChild>
            <w:div w:id="2074617254">
              <w:marLeft w:val="0"/>
              <w:marRight w:val="0"/>
              <w:marTop w:val="0"/>
              <w:marBottom w:val="0"/>
              <w:divBdr>
                <w:top w:val="none" w:sz="0" w:space="0" w:color="auto"/>
                <w:left w:val="none" w:sz="0" w:space="0" w:color="auto"/>
                <w:bottom w:val="none" w:sz="0" w:space="0" w:color="auto"/>
                <w:right w:val="none" w:sz="0" w:space="0" w:color="auto"/>
              </w:divBdr>
              <w:divsChild>
                <w:div w:id="1479959372">
                  <w:marLeft w:val="0"/>
                  <w:marRight w:val="0"/>
                  <w:marTop w:val="0"/>
                  <w:marBottom w:val="0"/>
                  <w:divBdr>
                    <w:top w:val="none" w:sz="0" w:space="0" w:color="auto"/>
                    <w:left w:val="none" w:sz="0" w:space="0" w:color="auto"/>
                    <w:bottom w:val="none" w:sz="0" w:space="0" w:color="auto"/>
                    <w:right w:val="none" w:sz="0" w:space="0" w:color="auto"/>
                  </w:divBdr>
                  <w:divsChild>
                    <w:div w:id="2018654121">
                      <w:marLeft w:val="0"/>
                      <w:marRight w:val="0"/>
                      <w:marTop w:val="0"/>
                      <w:marBottom w:val="0"/>
                      <w:divBdr>
                        <w:top w:val="none" w:sz="0" w:space="0" w:color="auto"/>
                        <w:left w:val="none" w:sz="0" w:space="0" w:color="auto"/>
                        <w:bottom w:val="none" w:sz="0" w:space="0" w:color="auto"/>
                        <w:right w:val="none" w:sz="0" w:space="0" w:color="auto"/>
                      </w:divBdr>
                      <w:divsChild>
                        <w:div w:id="225651601">
                          <w:marLeft w:val="0"/>
                          <w:marRight w:val="0"/>
                          <w:marTop w:val="0"/>
                          <w:marBottom w:val="0"/>
                          <w:divBdr>
                            <w:top w:val="none" w:sz="0" w:space="0" w:color="auto"/>
                            <w:left w:val="none" w:sz="0" w:space="0" w:color="auto"/>
                            <w:bottom w:val="none" w:sz="0" w:space="0" w:color="auto"/>
                            <w:right w:val="none" w:sz="0" w:space="0" w:color="auto"/>
                          </w:divBdr>
                          <w:divsChild>
                            <w:div w:id="13532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02279">
      <w:bodyDiv w:val="1"/>
      <w:marLeft w:val="0"/>
      <w:marRight w:val="0"/>
      <w:marTop w:val="0"/>
      <w:marBottom w:val="0"/>
      <w:divBdr>
        <w:top w:val="none" w:sz="0" w:space="0" w:color="auto"/>
        <w:left w:val="none" w:sz="0" w:space="0" w:color="auto"/>
        <w:bottom w:val="none" w:sz="0" w:space="0" w:color="auto"/>
        <w:right w:val="none" w:sz="0" w:space="0" w:color="auto"/>
      </w:divBdr>
    </w:div>
    <w:div w:id="1366559973">
      <w:bodyDiv w:val="1"/>
      <w:marLeft w:val="0"/>
      <w:marRight w:val="0"/>
      <w:marTop w:val="0"/>
      <w:marBottom w:val="0"/>
      <w:divBdr>
        <w:top w:val="none" w:sz="0" w:space="0" w:color="auto"/>
        <w:left w:val="none" w:sz="0" w:space="0" w:color="auto"/>
        <w:bottom w:val="none" w:sz="0" w:space="0" w:color="auto"/>
        <w:right w:val="none" w:sz="0" w:space="0" w:color="auto"/>
      </w:divBdr>
      <w:divsChild>
        <w:div w:id="1615558206">
          <w:marLeft w:val="0"/>
          <w:marRight w:val="0"/>
          <w:marTop w:val="0"/>
          <w:marBottom w:val="0"/>
          <w:divBdr>
            <w:top w:val="none" w:sz="0" w:space="16" w:color="auto"/>
            <w:left w:val="none" w:sz="0" w:space="8" w:color="auto"/>
            <w:bottom w:val="none" w:sz="0" w:space="9" w:color="auto"/>
            <w:right w:val="none" w:sz="0" w:space="8" w:color="auto"/>
          </w:divBdr>
          <w:divsChild>
            <w:div w:id="567768592">
              <w:marLeft w:val="0"/>
              <w:marRight w:val="0"/>
              <w:marTop w:val="0"/>
              <w:marBottom w:val="0"/>
              <w:divBdr>
                <w:top w:val="none" w:sz="0" w:space="0" w:color="auto"/>
                <w:left w:val="none" w:sz="0" w:space="0" w:color="auto"/>
                <w:bottom w:val="none" w:sz="0" w:space="0" w:color="auto"/>
                <w:right w:val="none" w:sz="0" w:space="0" w:color="auto"/>
              </w:divBdr>
              <w:divsChild>
                <w:div w:id="1933582552">
                  <w:marLeft w:val="0"/>
                  <w:marRight w:val="0"/>
                  <w:marTop w:val="0"/>
                  <w:marBottom w:val="0"/>
                  <w:divBdr>
                    <w:top w:val="none" w:sz="0" w:space="0" w:color="auto"/>
                    <w:left w:val="none" w:sz="0" w:space="0" w:color="auto"/>
                    <w:bottom w:val="none" w:sz="0" w:space="0" w:color="auto"/>
                    <w:right w:val="none" w:sz="0" w:space="0" w:color="auto"/>
                  </w:divBdr>
                  <w:divsChild>
                    <w:div w:id="648442661">
                      <w:marLeft w:val="0"/>
                      <w:marRight w:val="150"/>
                      <w:marTop w:val="0"/>
                      <w:marBottom w:val="0"/>
                      <w:divBdr>
                        <w:top w:val="none" w:sz="0" w:space="0" w:color="auto"/>
                        <w:left w:val="none" w:sz="0" w:space="0" w:color="auto"/>
                        <w:bottom w:val="none" w:sz="0" w:space="0" w:color="auto"/>
                        <w:right w:val="none" w:sz="0" w:space="0" w:color="auto"/>
                      </w:divBdr>
                      <w:divsChild>
                        <w:div w:id="813983512">
                          <w:marLeft w:val="0"/>
                          <w:marRight w:val="0"/>
                          <w:marTop w:val="0"/>
                          <w:marBottom w:val="0"/>
                          <w:divBdr>
                            <w:top w:val="none" w:sz="0" w:space="0" w:color="auto"/>
                            <w:left w:val="none" w:sz="0" w:space="0" w:color="auto"/>
                            <w:bottom w:val="none" w:sz="0" w:space="0" w:color="auto"/>
                            <w:right w:val="none" w:sz="0" w:space="0" w:color="auto"/>
                          </w:divBdr>
                          <w:divsChild>
                            <w:div w:id="1811628368">
                              <w:marLeft w:val="0"/>
                              <w:marRight w:val="0"/>
                              <w:marTop w:val="0"/>
                              <w:marBottom w:val="300"/>
                              <w:divBdr>
                                <w:top w:val="none" w:sz="0" w:space="0" w:color="auto"/>
                                <w:left w:val="none" w:sz="0" w:space="0" w:color="auto"/>
                                <w:bottom w:val="none" w:sz="0" w:space="0" w:color="auto"/>
                                <w:right w:val="none" w:sz="0" w:space="0" w:color="auto"/>
                              </w:divBdr>
                              <w:divsChild>
                                <w:div w:id="708189916">
                                  <w:marLeft w:val="0"/>
                                  <w:marRight w:val="0"/>
                                  <w:marTop w:val="0"/>
                                  <w:marBottom w:val="0"/>
                                  <w:divBdr>
                                    <w:top w:val="none" w:sz="0" w:space="0" w:color="auto"/>
                                    <w:left w:val="none" w:sz="0" w:space="0" w:color="auto"/>
                                    <w:bottom w:val="none" w:sz="0" w:space="0" w:color="auto"/>
                                    <w:right w:val="none" w:sz="0" w:space="0" w:color="auto"/>
                                  </w:divBdr>
                                  <w:divsChild>
                                    <w:div w:id="670377124">
                                      <w:marLeft w:val="0"/>
                                      <w:marRight w:val="0"/>
                                      <w:marTop w:val="0"/>
                                      <w:marBottom w:val="0"/>
                                      <w:divBdr>
                                        <w:top w:val="none" w:sz="0" w:space="0" w:color="auto"/>
                                        <w:left w:val="none" w:sz="0" w:space="0" w:color="auto"/>
                                        <w:bottom w:val="none" w:sz="0" w:space="0" w:color="auto"/>
                                        <w:right w:val="none" w:sz="0" w:space="0" w:color="auto"/>
                                      </w:divBdr>
                                      <w:divsChild>
                                        <w:div w:id="1870141726">
                                          <w:marLeft w:val="0"/>
                                          <w:marRight w:val="0"/>
                                          <w:marTop w:val="0"/>
                                          <w:marBottom w:val="0"/>
                                          <w:divBdr>
                                            <w:top w:val="none" w:sz="0" w:space="0" w:color="auto"/>
                                            <w:left w:val="none" w:sz="0" w:space="0" w:color="auto"/>
                                            <w:bottom w:val="none" w:sz="0" w:space="0" w:color="auto"/>
                                            <w:right w:val="none" w:sz="0" w:space="0" w:color="auto"/>
                                          </w:divBdr>
                                          <w:divsChild>
                                            <w:div w:id="451097359">
                                              <w:marLeft w:val="0"/>
                                              <w:marRight w:val="0"/>
                                              <w:marTop w:val="0"/>
                                              <w:marBottom w:val="0"/>
                                              <w:divBdr>
                                                <w:top w:val="none" w:sz="0" w:space="0" w:color="auto"/>
                                                <w:left w:val="none" w:sz="0" w:space="0" w:color="auto"/>
                                                <w:bottom w:val="none" w:sz="0" w:space="0" w:color="auto"/>
                                                <w:right w:val="none" w:sz="0" w:space="0" w:color="auto"/>
                                              </w:divBdr>
                                              <w:divsChild>
                                                <w:div w:id="17171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889173">
      <w:bodyDiv w:val="1"/>
      <w:marLeft w:val="0"/>
      <w:marRight w:val="0"/>
      <w:marTop w:val="0"/>
      <w:marBottom w:val="0"/>
      <w:divBdr>
        <w:top w:val="none" w:sz="0" w:space="0" w:color="auto"/>
        <w:left w:val="none" w:sz="0" w:space="0" w:color="auto"/>
        <w:bottom w:val="none" w:sz="0" w:space="0" w:color="auto"/>
        <w:right w:val="none" w:sz="0" w:space="0" w:color="auto"/>
      </w:divBdr>
      <w:divsChild>
        <w:div w:id="163477855">
          <w:marLeft w:val="0"/>
          <w:marRight w:val="0"/>
          <w:marTop w:val="750"/>
          <w:marBottom w:val="0"/>
          <w:divBdr>
            <w:top w:val="none" w:sz="0" w:space="0" w:color="auto"/>
            <w:left w:val="none" w:sz="0" w:space="0" w:color="auto"/>
            <w:bottom w:val="none" w:sz="0" w:space="0" w:color="auto"/>
            <w:right w:val="none" w:sz="0" w:space="0" w:color="auto"/>
          </w:divBdr>
          <w:divsChild>
            <w:div w:id="708649316">
              <w:marLeft w:val="-225"/>
              <w:marRight w:val="-225"/>
              <w:marTop w:val="0"/>
              <w:marBottom w:val="0"/>
              <w:divBdr>
                <w:top w:val="none" w:sz="0" w:space="0" w:color="auto"/>
                <w:left w:val="none" w:sz="0" w:space="0" w:color="auto"/>
                <w:bottom w:val="none" w:sz="0" w:space="0" w:color="auto"/>
                <w:right w:val="none" w:sz="0" w:space="0" w:color="auto"/>
              </w:divBdr>
              <w:divsChild>
                <w:div w:id="619412757">
                  <w:marLeft w:val="0"/>
                  <w:marRight w:val="0"/>
                  <w:marTop w:val="0"/>
                  <w:marBottom w:val="0"/>
                  <w:divBdr>
                    <w:top w:val="none" w:sz="0" w:space="0" w:color="auto"/>
                    <w:left w:val="none" w:sz="0" w:space="0" w:color="auto"/>
                    <w:bottom w:val="none" w:sz="0" w:space="0" w:color="auto"/>
                    <w:right w:val="none" w:sz="0" w:space="0" w:color="auto"/>
                  </w:divBdr>
                  <w:divsChild>
                    <w:div w:id="426463465">
                      <w:marLeft w:val="0"/>
                      <w:marRight w:val="0"/>
                      <w:marTop w:val="0"/>
                      <w:marBottom w:val="0"/>
                      <w:divBdr>
                        <w:top w:val="none" w:sz="0" w:space="0" w:color="auto"/>
                        <w:left w:val="none" w:sz="0" w:space="0" w:color="auto"/>
                        <w:bottom w:val="none" w:sz="0" w:space="0" w:color="auto"/>
                        <w:right w:val="none" w:sz="0" w:space="0" w:color="auto"/>
                      </w:divBdr>
                      <w:divsChild>
                        <w:div w:id="1879736159">
                          <w:marLeft w:val="-225"/>
                          <w:marRight w:val="-225"/>
                          <w:marTop w:val="0"/>
                          <w:marBottom w:val="0"/>
                          <w:divBdr>
                            <w:top w:val="none" w:sz="0" w:space="0" w:color="auto"/>
                            <w:left w:val="none" w:sz="0" w:space="0" w:color="auto"/>
                            <w:bottom w:val="none" w:sz="0" w:space="0" w:color="auto"/>
                            <w:right w:val="none" w:sz="0" w:space="0" w:color="auto"/>
                          </w:divBdr>
                          <w:divsChild>
                            <w:div w:id="448204787">
                              <w:marLeft w:val="0"/>
                              <w:marRight w:val="0"/>
                              <w:marTop w:val="0"/>
                              <w:marBottom w:val="0"/>
                              <w:divBdr>
                                <w:top w:val="none" w:sz="0" w:space="0" w:color="auto"/>
                                <w:left w:val="none" w:sz="0" w:space="0" w:color="auto"/>
                                <w:bottom w:val="none" w:sz="0" w:space="0" w:color="auto"/>
                                <w:right w:val="none" w:sz="0" w:space="0" w:color="auto"/>
                              </w:divBdr>
                              <w:divsChild>
                                <w:div w:id="82533516">
                                  <w:marLeft w:val="0"/>
                                  <w:marRight w:val="0"/>
                                  <w:marTop w:val="0"/>
                                  <w:marBottom w:val="0"/>
                                  <w:divBdr>
                                    <w:top w:val="none" w:sz="0" w:space="0" w:color="auto"/>
                                    <w:left w:val="none" w:sz="0" w:space="0" w:color="auto"/>
                                    <w:bottom w:val="none" w:sz="0" w:space="0" w:color="auto"/>
                                    <w:right w:val="none" w:sz="0" w:space="0" w:color="auto"/>
                                  </w:divBdr>
                                  <w:divsChild>
                                    <w:div w:id="900796617">
                                      <w:marLeft w:val="0"/>
                                      <w:marRight w:val="0"/>
                                      <w:marTop w:val="0"/>
                                      <w:marBottom w:val="0"/>
                                      <w:divBdr>
                                        <w:top w:val="none" w:sz="0" w:space="0" w:color="auto"/>
                                        <w:left w:val="none" w:sz="0" w:space="0" w:color="auto"/>
                                        <w:bottom w:val="none" w:sz="0" w:space="0" w:color="auto"/>
                                        <w:right w:val="none" w:sz="0" w:space="0" w:color="auto"/>
                                      </w:divBdr>
                                    </w:div>
                                    <w:div w:id="217209522">
                                      <w:marLeft w:val="0"/>
                                      <w:marRight w:val="0"/>
                                      <w:marTop w:val="0"/>
                                      <w:marBottom w:val="0"/>
                                      <w:divBdr>
                                        <w:top w:val="none" w:sz="0" w:space="0" w:color="auto"/>
                                        <w:left w:val="none" w:sz="0" w:space="0" w:color="auto"/>
                                        <w:bottom w:val="none" w:sz="0" w:space="0" w:color="auto"/>
                                        <w:right w:val="none" w:sz="0" w:space="0" w:color="auto"/>
                                      </w:divBdr>
                                    </w:div>
                                    <w:div w:id="1866753198">
                                      <w:marLeft w:val="0"/>
                                      <w:marRight w:val="0"/>
                                      <w:marTop w:val="0"/>
                                      <w:marBottom w:val="0"/>
                                      <w:divBdr>
                                        <w:top w:val="none" w:sz="0" w:space="0" w:color="auto"/>
                                        <w:left w:val="none" w:sz="0" w:space="0" w:color="auto"/>
                                        <w:bottom w:val="none" w:sz="0" w:space="0" w:color="auto"/>
                                        <w:right w:val="none" w:sz="0" w:space="0" w:color="auto"/>
                                      </w:divBdr>
                                    </w:div>
                                    <w:div w:id="121189507">
                                      <w:marLeft w:val="0"/>
                                      <w:marRight w:val="0"/>
                                      <w:marTop w:val="0"/>
                                      <w:marBottom w:val="0"/>
                                      <w:divBdr>
                                        <w:top w:val="none" w:sz="0" w:space="0" w:color="auto"/>
                                        <w:left w:val="none" w:sz="0" w:space="0" w:color="auto"/>
                                        <w:bottom w:val="none" w:sz="0" w:space="0" w:color="auto"/>
                                        <w:right w:val="none" w:sz="0" w:space="0" w:color="auto"/>
                                      </w:divBdr>
                                    </w:div>
                                    <w:div w:id="341662873">
                                      <w:marLeft w:val="0"/>
                                      <w:marRight w:val="0"/>
                                      <w:marTop w:val="0"/>
                                      <w:marBottom w:val="0"/>
                                      <w:divBdr>
                                        <w:top w:val="none" w:sz="0" w:space="0" w:color="auto"/>
                                        <w:left w:val="none" w:sz="0" w:space="0" w:color="auto"/>
                                        <w:bottom w:val="none" w:sz="0" w:space="0" w:color="auto"/>
                                        <w:right w:val="none" w:sz="0" w:space="0" w:color="auto"/>
                                      </w:divBdr>
                                    </w:div>
                                    <w:div w:id="1826117709">
                                      <w:marLeft w:val="0"/>
                                      <w:marRight w:val="0"/>
                                      <w:marTop w:val="0"/>
                                      <w:marBottom w:val="0"/>
                                      <w:divBdr>
                                        <w:top w:val="none" w:sz="0" w:space="0" w:color="auto"/>
                                        <w:left w:val="none" w:sz="0" w:space="0" w:color="auto"/>
                                        <w:bottom w:val="none" w:sz="0" w:space="0" w:color="auto"/>
                                        <w:right w:val="none" w:sz="0" w:space="0" w:color="auto"/>
                                      </w:divBdr>
                                    </w:div>
                                    <w:div w:id="765347584">
                                      <w:marLeft w:val="0"/>
                                      <w:marRight w:val="0"/>
                                      <w:marTop w:val="0"/>
                                      <w:marBottom w:val="0"/>
                                      <w:divBdr>
                                        <w:top w:val="none" w:sz="0" w:space="0" w:color="auto"/>
                                        <w:left w:val="none" w:sz="0" w:space="0" w:color="auto"/>
                                        <w:bottom w:val="none" w:sz="0" w:space="0" w:color="auto"/>
                                        <w:right w:val="none" w:sz="0" w:space="0" w:color="auto"/>
                                      </w:divBdr>
                                    </w:div>
                                    <w:div w:id="1966496879">
                                      <w:marLeft w:val="0"/>
                                      <w:marRight w:val="0"/>
                                      <w:marTop w:val="0"/>
                                      <w:marBottom w:val="0"/>
                                      <w:divBdr>
                                        <w:top w:val="none" w:sz="0" w:space="0" w:color="auto"/>
                                        <w:left w:val="none" w:sz="0" w:space="0" w:color="auto"/>
                                        <w:bottom w:val="none" w:sz="0" w:space="0" w:color="auto"/>
                                        <w:right w:val="none" w:sz="0" w:space="0" w:color="auto"/>
                                      </w:divBdr>
                                    </w:div>
                                    <w:div w:id="977882402">
                                      <w:marLeft w:val="0"/>
                                      <w:marRight w:val="0"/>
                                      <w:marTop w:val="0"/>
                                      <w:marBottom w:val="0"/>
                                      <w:divBdr>
                                        <w:top w:val="none" w:sz="0" w:space="0" w:color="auto"/>
                                        <w:left w:val="none" w:sz="0" w:space="0" w:color="auto"/>
                                        <w:bottom w:val="none" w:sz="0" w:space="0" w:color="auto"/>
                                        <w:right w:val="none" w:sz="0" w:space="0" w:color="auto"/>
                                      </w:divBdr>
                                    </w:div>
                                    <w:div w:id="512770343">
                                      <w:marLeft w:val="0"/>
                                      <w:marRight w:val="0"/>
                                      <w:marTop w:val="0"/>
                                      <w:marBottom w:val="0"/>
                                      <w:divBdr>
                                        <w:top w:val="none" w:sz="0" w:space="0" w:color="auto"/>
                                        <w:left w:val="none" w:sz="0" w:space="0" w:color="auto"/>
                                        <w:bottom w:val="none" w:sz="0" w:space="0" w:color="auto"/>
                                        <w:right w:val="none" w:sz="0" w:space="0" w:color="auto"/>
                                      </w:divBdr>
                                    </w:div>
                                    <w:div w:id="10955901">
                                      <w:marLeft w:val="0"/>
                                      <w:marRight w:val="0"/>
                                      <w:marTop w:val="0"/>
                                      <w:marBottom w:val="0"/>
                                      <w:divBdr>
                                        <w:top w:val="none" w:sz="0" w:space="0" w:color="auto"/>
                                        <w:left w:val="none" w:sz="0" w:space="0" w:color="auto"/>
                                        <w:bottom w:val="none" w:sz="0" w:space="0" w:color="auto"/>
                                        <w:right w:val="none" w:sz="0" w:space="0" w:color="auto"/>
                                      </w:divBdr>
                                    </w:div>
                                    <w:div w:id="1203052247">
                                      <w:marLeft w:val="0"/>
                                      <w:marRight w:val="0"/>
                                      <w:marTop w:val="0"/>
                                      <w:marBottom w:val="0"/>
                                      <w:divBdr>
                                        <w:top w:val="none" w:sz="0" w:space="0" w:color="auto"/>
                                        <w:left w:val="none" w:sz="0" w:space="0" w:color="auto"/>
                                        <w:bottom w:val="none" w:sz="0" w:space="0" w:color="auto"/>
                                        <w:right w:val="none" w:sz="0" w:space="0" w:color="auto"/>
                                      </w:divBdr>
                                    </w:div>
                                    <w:div w:id="602765006">
                                      <w:marLeft w:val="0"/>
                                      <w:marRight w:val="0"/>
                                      <w:marTop w:val="0"/>
                                      <w:marBottom w:val="0"/>
                                      <w:divBdr>
                                        <w:top w:val="none" w:sz="0" w:space="0" w:color="auto"/>
                                        <w:left w:val="none" w:sz="0" w:space="0" w:color="auto"/>
                                        <w:bottom w:val="none" w:sz="0" w:space="0" w:color="auto"/>
                                        <w:right w:val="none" w:sz="0" w:space="0" w:color="auto"/>
                                      </w:divBdr>
                                    </w:div>
                                    <w:div w:id="1830437686">
                                      <w:marLeft w:val="0"/>
                                      <w:marRight w:val="0"/>
                                      <w:marTop w:val="0"/>
                                      <w:marBottom w:val="0"/>
                                      <w:divBdr>
                                        <w:top w:val="none" w:sz="0" w:space="0" w:color="auto"/>
                                        <w:left w:val="none" w:sz="0" w:space="0" w:color="auto"/>
                                        <w:bottom w:val="none" w:sz="0" w:space="0" w:color="auto"/>
                                        <w:right w:val="none" w:sz="0" w:space="0" w:color="auto"/>
                                      </w:divBdr>
                                    </w:div>
                                    <w:div w:id="310525799">
                                      <w:marLeft w:val="0"/>
                                      <w:marRight w:val="0"/>
                                      <w:marTop w:val="0"/>
                                      <w:marBottom w:val="0"/>
                                      <w:divBdr>
                                        <w:top w:val="none" w:sz="0" w:space="0" w:color="auto"/>
                                        <w:left w:val="none" w:sz="0" w:space="0" w:color="auto"/>
                                        <w:bottom w:val="none" w:sz="0" w:space="0" w:color="auto"/>
                                        <w:right w:val="none" w:sz="0" w:space="0" w:color="auto"/>
                                      </w:divBdr>
                                    </w:div>
                                    <w:div w:id="2020034921">
                                      <w:marLeft w:val="0"/>
                                      <w:marRight w:val="0"/>
                                      <w:marTop w:val="0"/>
                                      <w:marBottom w:val="0"/>
                                      <w:divBdr>
                                        <w:top w:val="none" w:sz="0" w:space="0" w:color="auto"/>
                                        <w:left w:val="none" w:sz="0" w:space="0" w:color="auto"/>
                                        <w:bottom w:val="none" w:sz="0" w:space="0" w:color="auto"/>
                                        <w:right w:val="none" w:sz="0" w:space="0" w:color="auto"/>
                                      </w:divBdr>
                                    </w:div>
                                    <w:div w:id="1900631456">
                                      <w:marLeft w:val="0"/>
                                      <w:marRight w:val="0"/>
                                      <w:marTop w:val="0"/>
                                      <w:marBottom w:val="0"/>
                                      <w:divBdr>
                                        <w:top w:val="none" w:sz="0" w:space="0" w:color="auto"/>
                                        <w:left w:val="none" w:sz="0" w:space="0" w:color="auto"/>
                                        <w:bottom w:val="none" w:sz="0" w:space="0" w:color="auto"/>
                                        <w:right w:val="none" w:sz="0" w:space="0" w:color="auto"/>
                                      </w:divBdr>
                                    </w:div>
                                    <w:div w:id="18006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716560">
      <w:bodyDiv w:val="1"/>
      <w:marLeft w:val="0"/>
      <w:marRight w:val="0"/>
      <w:marTop w:val="0"/>
      <w:marBottom w:val="0"/>
      <w:divBdr>
        <w:top w:val="none" w:sz="0" w:space="0" w:color="auto"/>
        <w:left w:val="none" w:sz="0" w:space="0" w:color="auto"/>
        <w:bottom w:val="none" w:sz="0" w:space="0" w:color="auto"/>
        <w:right w:val="none" w:sz="0" w:space="0" w:color="auto"/>
      </w:divBdr>
    </w:div>
    <w:div w:id="1573158759">
      <w:bodyDiv w:val="1"/>
      <w:marLeft w:val="0"/>
      <w:marRight w:val="0"/>
      <w:marTop w:val="0"/>
      <w:marBottom w:val="0"/>
      <w:divBdr>
        <w:top w:val="none" w:sz="0" w:space="0" w:color="auto"/>
        <w:left w:val="none" w:sz="0" w:space="0" w:color="auto"/>
        <w:bottom w:val="none" w:sz="0" w:space="0" w:color="auto"/>
        <w:right w:val="none" w:sz="0" w:space="0" w:color="auto"/>
      </w:divBdr>
      <w:divsChild>
        <w:div w:id="1848785703">
          <w:marLeft w:val="0"/>
          <w:marRight w:val="0"/>
          <w:marTop w:val="750"/>
          <w:marBottom w:val="0"/>
          <w:divBdr>
            <w:top w:val="none" w:sz="0" w:space="0" w:color="auto"/>
            <w:left w:val="none" w:sz="0" w:space="0" w:color="auto"/>
            <w:bottom w:val="none" w:sz="0" w:space="0" w:color="auto"/>
            <w:right w:val="none" w:sz="0" w:space="0" w:color="auto"/>
          </w:divBdr>
          <w:divsChild>
            <w:div w:id="1730954474">
              <w:marLeft w:val="-225"/>
              <w:marRight w:val="-225"/>
              <w:marTop w:val="0"/>
              <w:marBottom w:val="0"/>
              <w:divBdr>
                <w:top w:val="none" w:sz="0" w:space="0" w:color="auto"/>
                <w:left w:val="none" w:sz="0" w:space="0" w:color="auto"/>
                <w:bottom w:val="none" w:sz="0" w:space="0" w:color="auto"/>
                <w:right w:val="none" w:sz="0" w:space="0" w:color="auto"/>
              </w:divBdr>
              <w:divsChild>
                <w:div w:id="378172020">
                  <w:marLeft w:val="0"/>
                  <w:marRight w:val="0"/>
                  <w:marTop w:val="0"/>
                  <w:marBottom w:val="0"/>
                  <w:divBdr>
                    <w:top w:val="none" w:sz="0" w:space="0" w:color="auto"/>
                    <w:left w:val="none" w:sz="0" w:space="0" w:color="auto"/>
                    <w:bottom w:val="none" w:sz="0" w:space="0" w:color="auto"/>
                    <w:right w:val="none" w:sz="0" w:space="0" w:color="auto"/>
                  </w:divBdr>
                  <w:divsChild>
                    <w:div w:id="1427654772">
                      <w:marLeft w:val="0"/>
                      <w:marRight w:val="0"/>
                      <w:marTop w:val="0"/>
                      <w:marBottom w:val="0"/>
                      <w:divBdr>
                        <w:top w:val="none" w:sz="0" w:space="0" w:color="auto"/>
                        <w:left w:val="none" w:sz="0" w:space="0" w:color="auto"/>
                        <w:bottom w:val="none" w:sz="0" w:space="0" w:color="auto"/>
                        <w:right w:val="none" w:sz="0" w:space="0" w:color="auto"/>
                      </w:divBdr>
                      <w:divsChild>
                        <w:div w:id="575283071">
                          <w:marLeft w:val="-225"/>
                          <w:marRight w:val="-225"/>
                          <w:marTop w:val="0"/>
                          <w:marBottom w:val="0"/>
                          <w:divBdr>
                            <w:top w:val="none" w:sz="0" w:space="0" w:color="auto"/>
                            <w:left w:val="none" w:sz="0" w:space="0" w:color="auto"/>
                            <w:bottom w:val="none" w:sz="0" w:space="0" w:color="auto"/>
                            <w:right w:val="none" w:sz="0" w:space="0" w:color="auto"/>
                          </w:divBdr>
                          <w:divsChild>
                            <w:div w:id="1593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1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115/bills/hr2810/BILLS-115hr2810enr.pdf" TargetMode="External"/><Relationship Id="rId13" Type="http://schemas.openxmlformats.org/officeDocument/2006/relationships/hyperlink" Target="mailto:maria.snowden@nih.gov" TargetMode="External"/><Relationship Id="rId18" Type="http://schemas.openxmlformats.org/officeDocument/2006/relationships/hyperlink" Target="mailto:creditcard@od.nih.gov" TargetMode="External"/><Relationship Id="rId26" Type="http://schemas.openxmlformats.org/officeDocument/2006/relationships/hyperlink" Target="https://hr.nih.gov/training-center/course-catalog/acquisitions-management" TargetMode="External"/><Relationship Id="rId39" Type="http://schemas.openxmlformats.org/officeDocument/2006/relationships/hyperlink" Target="mailto:OALMnewsletter@mail.nih.gov" TargetMode="External"/><Relationship Id="rId3" Type="http://schemas.openxmlformats.org/officeDocument/2006/relationships/settings" Target="settings.xml"/><Relationship Id="rId21" Type="http://schemas.openxmlformats.org/officeDocument/2006/relationships/hyperlink" Target="http://pics.olao.od.nih.gov/" TargetMode="External"/><Relationship Id="rId34" Type="http://schemas.openxmlformats.org/officeDocument/2006/relationships/hyperlink" Target="mailto:RomanesA@od.nih.gov" TargetMode="External"/><Relationship Id="rId42" Type="http://schemas.openxmlformats.org/officeDocument/2006/relationships/fontTable" Target="fontTable.xml"/><Relationship Id="rId7" Type="http://schemas.openxmlformats.org/officeDocument/2006/relationships/hyperlink" Target="https://www.congress.gov/115/bills/hr2810/BILLS-115hr2810enr.pdf" TargetMode="External"/><Relationship Id="rId12" Type="http://schemas.openxmlformats.org/officeDocument/2006/relationships/hyperlink" Target="http://oampintranet.od.nih.gov/purchasecard/purchasecard.html" TargetMode="External"/><Relationship Id="rId17" Type="http://schemas.openxmlformats.org/officeDocument/2006/relationships/hyperlink" Target="mailto:creditcard@od.nih.gov" TargetMode="External"/><Relationship Id="rId25" Type="http://schemas.openxmlformats.org/officeDocument/2006/relationships/hyperlink" Target="https://hr.nih.gov/training-center/course-catalog/acquisitions-management" TargetMode="External"/><Relationship Id="rId33" Type="http://schemas.openxmlformats.org/officeDocument/2006/relationships/hyperlink" Target="mailto:NicholaM@od.nih.gov" TargetMode="External"/><Relationship Id="rId38" Type="http://schemas.openxmlformats.org/officeDocument/2006/relationships/hyperlink" Target="mailto:SolomonBJ@od.nih.gov" TargetMode="External"/><Relationship Id="rId2" Type="http://schemas.openxmlformats.org/officeDocument/2006/relationships/styles" Target="styles.xml"/><Relationship Id="rId16" Type="http://schemas.openxmlformats.org/officeDocument/2006/relationships/hyperlink" Target="https://nbrssprod.cit.nih.gov:8050/NBSAccessRequestForms/" TargetMode="External"/><Relationship Id="rId20" Type="http://schemas.openxmlformats.org/officeDocument/2006/relationships/hyperlink" Target="http://nihcatsii.olao.od.nih.gov/" TargetMode="External"/><Relationship Id="rId29" Type="http://schemas.openxmlformats.org/officeDocument/2006/relationships/hyperlink" Target="http://training.cit.nih.gov/list.aspx?catId=1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act.gsa.gov/group/commercial-platform-initiative" TargetMode="External"/><Relationship Id="rId24" Type="http://schemas.openxmlformats.org/officeDocument/2006/relationships/hyperlink" Target="mailto:vaughanc@od.nih.gov" TargetMode="External"/><Relationship Id="rId32" Type="http://schemas.openxmlformats.org/officeDocument/2006/relationships/hyperlink" Target="mailto:BPAProgramBranch@od.nih.gov" TargetMode="External"/><Relationship Id="rId37" Type="http://schemas.openxmlformats.org/officeDocument/2006/relationships/hyperlink" Target="mailto:,%20or%20Barry"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oampintranet.od.nih.gov/purchasecard/purchasecard.html" TargetMode="External"/><Relationship Id="rId23" Type="http://schemas.openxmlformats.org/officeDocument/2006/relationships/hyperlink" Target="https://nihbpss.olao.od.nih.gov/index.html" TargetMode="External"/><Relationship Id="rId28" Type="http://schemas.openxmlformats.org/officeDocument/2006/relationships/hyperlink" Target="https://learn.dau.mil/Atlas2/faces/page/atlasSE/login/Login.seam" TargetMode="External"/><Relationship Id="rId36" Type="http://schemas.openxmlformats.org/officeDocument/2006/relationships/hyperlink" Target="mailto:Jesse.Lee2@nih.gov" TargetMode="External"/><Relationship Id="rId10" Type="http://schemas.openxmlformats.org/officeDocument/2006/relationships/hyperlink" Target="https://interact.gsa.gov/document/gsa-and-omb-phase-i-deliverable-attached" TargetMode="External"/><Relationship Id="rId19" Type="http://schemas.openxmlformats.org/officeDocument/2006/relationships/hyperlink" Target="https://www.youtube.com/channel/UCVCVAH2UkVUcHzrfzrq4SMg" TargetMode="External"/><Relationship Id="rId31" Type="http://schemas.openxmlformats.org/officeDocument/2006/relationships/hyperlink" Target="http://oamp.od.nih.gov/dsaps/bpa-program" TargetMode="External"/><Relationship Id="rId4" Type="http://schemas.openxmlformats.org/officeDocument/2006/relationships/webSettings" Target="webSettings.xml"/><Relationship Id="rId9" Type="http://schemas.openxmlformats.org/officeDocument/2006/relationships/hyperlink" Target="https://interact.gsa.gov/document/gsa-and-omb-phase-i-deliverable-attached" TargetMode="External"/><Relationship Id="rId14" Type="http://schemas.openxmlformats.org/officeDocument/2006/relationships/hyperlink" Target="mailto:creditcard@od.nih.gov" TargetMode="External"/><Relationship Id="rId22" Type="http://schemas.openxmlformats.org/officeDocument/2006/relationships/hyperlink" Target="http://ltasc.od.nih.gov/" TargetMode="External"/><Relationship Id="rId27" Type="http://schemas.openxmlformats.org/officeDocument/2006/relationships/hyperlink" Target="http://www.fai.gov/" TargetMode="External"/><Relationship Id="rId30" Type="http://schemas.openxmlformats.org/officeDocument/2006/relationships/hyperlink" Target="http://oalm.od.nih.gov/GreenPurchasingForWebsite" TargetMode="External"/><Relationship Id="rId35" Type="http://schemas.openxmlformats.org/officeDocument/2006/relationships/hyperlink" Target="mailto:McDermottMl@od.nih.gov"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OALM March/April 2018 Newsletter</vt:lpstr>
    </vt:vector>
  </TitlesOfParts>
  <Company>NIH/OD</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OALM March/April 2018 Newsletter</dc:title>
  <dc:subject/>
  <dc:creator>NIH/OD/OALM/OAMP/DSAPS</dc:creator>
  <cp:keywords>OALM March April 2018 Newsetter</cp:keywords>
  <dc:description>OALM March/April 2018 Newsletter</dc:description>
  <cp:lastModifiedBy>Ambrose, Alan (NIH/OD) [C]</cp:lastModifiedBy>
  <cp:revision>2</cp:revision>
  <cp:lastPrinted>2018-03-19T18:28:00Z</cp:lastPrinted>
  <dcterms:created xsi:type="dcterms:W3CDTF">2018-03-26T15:03:00Z</dcterms:created>
  <dcterms:modified xsi:type="dcterms:W3CDTF">2018-03-26T15:03:00Z</dcterms:modified>
</cp:coreProperties>
</file>