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4BAFD" w14:textId="77777777" w:rsidR="00480F16" w:rsidRPr="00480F16" w:rsidRDefault="00480F16" w:rsidP="00480F16">
      <w:pPr>
        <w:pStyle w:val="Heading1"/>
        <w:jc w:val="left"/>
        <w:rPr>
          <w:rFonts w:eastAsiaTheme="minorHAnsi"/>
        </w:rPr>
      </w:pPr>
      <w:bookmarkStart w:id="0" w:name="_GoBack"/>
      <w:bookmarkEnd w:id="0"/>
      <w:r>
        <w:rPr>
          <w:rFonts w:eastAsiaTheme="minorHAnsi"/>
        </w:rPr>
        <w:t>The Office of Acquisition and Logistics Management Newsletter – Third Quarter 2019</w:t>
      </w:r>
    </w:p>
    <w:p w14:paraId="1336481E" w14:textId="77777777" w:rsidR="00480F16" w:rsidRDefault="00480F16" w:rsidP="00480F16">
      <w:pPr>
        <w:pStyle w:val="Heading1"/>
        <w:jc w:val="left"/>
        <w:rPr>
          <w:rFonts w:eastAsiaTheme="minorHAnsi"/>
        </w:rPr>
      </w:pPr>
    </w:p>
    <w:p w14:paraId="24794FF6" w14:textId="77777777" w:rsidR="00AC5076" w:rsidRPr="00F51D62" w:rsidRDefault="00AC5076" w:rsidP="00480F16">
      <w:pPr>
        <w:pStyle w:val="Heading1"/>
        <w:jc w:val="left"/>
        <w:rPr>
          <w:rFonts w:eastAsiaTheme="minorHAnsi"/>
        </w:rPr>
      </w:pPr>
      <w:r w:rsidRPr="00F51D62">
        <w:rPr>
          <w:rFonts w:eastAsiaTheme="minorHAnsi"/>
        </w:rPr>
        <w:t>Biobased Products Guidelines Amended</w:t>
      </w:r>
    </w:p>
    <w:p w14:paraId="5CFD5886" w14:textId="77777777" w:rsidR="00AC5076" w:rsidRPr="00F51D62" w:rsidRDefault="00AC5076" w:rsidP="003344FE">
      <w:pPr>
        <w:autoSpaceDE w:val="0"/>
        <w:autoSpaceDN w:val="0"/>
        <w:adjustRightInd w:val="0"/>
        <w:spacing w:after="0" w:line="240" w:lineRule="auto"/>
        <w:rPr>
          <w:rFonts w:asciiTheme="minorHAnsi" w:eastAsiaTheme="minorHAnsi" w:hAnsiTheme="minorHAnsi" w:cstheme="minorHAnsi"/>
          <w:szCs w:val="24"/>
        </w:rPr>
      </w:pPr>
    </w:p>
    <w:p w14:paraId="7E39E371" w14:textId="77777777" w:rsidR="003344FE" w:rsidRPr="00F51D62" w:rsidRDefault="003344FE" w:rsidP="003344FE">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The U.S. Department of</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Agriculture (USDA) is amending the</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Guidelines for Designating Biobased</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Products for Federal Procurement</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(Guidelines) to add 30 sections that will</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designate the product categories within</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which biobased products would be</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afforded procurement reference by</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Federal agencies and their contractors.</w:t>
      </w:r>
    </w:p>
    <w:p w14:paraId="0DD7734B" w14:textId="77777777" w:rsidR="00AC5076" w:rsidRPr="00F51D62" w:rsidRDefault="00AC5076" w:rsidP="003344FE">
      <w:pPr>
        <w:autoSpaceDE w:val="0"/>
        <w:autoSpaceDN w:val="0"/>
        <w:adjustRightInd w:val="0"/>
        <w:spacing w:after="0" w:line="240" w:lineRule="auto"/>
        <w:rPr>
          <w:rFonts w:asciiTheme="minorHAnsi" w:eastAsiaTheme="minorHAnsi" w:hAnsiTheme="minorHAnsi" w:cstheme="minorHAnsi"/>
          <w:szCs w:val="24"/>
        </w:rPr>
      </w:pPr>
    </w:p>
    <w:p w14:paraId="1D6EC6DC" w14:textId="77777777" w:rsidR="003344FE" w:rsidRPr="00F51D62" w:rsidRDefault="003344FE" w:rsidP="003344FE">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These 30 product categories contain</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finished products that are made, in large</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 xml:space="preserve">part, </w:t>
      </w:r>
      <w:r w:rsidR="00F51D62" w:rsidRPr="00F51D62">
        <w:rPr>
          <w:rFonts w:asciiTheme="minorHAnsi" w:eastAsiaTheme="minorHAnsi" w:hAnsiTheme="minorHAnsi" w:cstheme="minorHAnsi"/>
          <w:szCs w:val="24"/>
        </w:rPr>
        <w:t>from intermediate</w:t>
      </w:r>
      <w:r w:rsidRPr="00F51D62">
        <w:rPr>
          <w:rFonts w:asciiTheme="minorHAnsi" w:eastAsiaTheme="minorHAnsi" w:hAnsiTheme="minorHAnsi" w:cstheme="minorHAnsi"/>
          <w:szCs w:val="24"/>
        </w:rPr>
        <w:t xml:space="preserve"> ingredients that</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have been designated for Federal</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procurement preference.</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Additionally,</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USDA is amending the existing</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designated product categories of general</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 xml:space="preserve">purpose </w:t>
      </w:r>
      <w:proofErr w:type="spellStart"/>
      <w:r w:rsidRPr="00F51D62">
        <w:rPr>
          <w:rFonts w:asciiTheme="minorHAnsi" w:eastAsiaTheme="minorHAnsi" w:hAnsiTheme="minorHAnsi" w:cstheme="minorHAnsi"/>
          <w:szCs w:val="24"/>
        </w:rPr>
        <w:t>de-icers</w:t>
      </w:r>
      <w:proofErr w:type="spellEnd"/>
      <w:r w:rsidRPr="00F51D62">
        <w:rPr>
          <w:rFonts w:asciiTheme="minorHAnsi" w:eastAsiaTheme="minorHAnsi" w:hAnsiTheme="minorHAnsi" w:cstheme="minorHAnsi"/>
          <w:szCs w:val="24"/>
        </w:rPr>
        <w:t>, firearm lubricants,</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laundry products, and water clarifying</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agents.</w:t>
      </w:r>
      <w:r w:rsidR="00AC5076" w:rsidRP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This rule is effective August 5,</w:t>
      </w:r>
      <w:r w:rsidR="00AC5076" w:rsidRPr="00F51D62">
        <w:rPr>
          <w:rFonts w:asciiTheme="minorHAnsi" w:eastAsiaTheme="minorHAnsi" w:hAnsiTheme="minorHAnsi" w:cstheme="minorHAnsi"/>
          <w:szCs w:val="24"/>
        </w:rPr>
        <w:t xml:space="preserve"> 2019.</w:t>
      </w:r>
    </w:p>
    <w:p w14:paraId="3DCFABC1" w14:textId="77777777" w:rsidR="00AC5076" w:rsidRPr="00F51D62" w:rsidRDefault="00AC5076" w:rsidP="003344FE">
      <w:pPr>
        <w:autoSpaceDE w:val="0"/>
        <w:autoSpaceDN w:val="0"/>
        <w:adjustRightInd w:val="0"/>
        <w:spacing w:after="0" w:line="240" w:lineRule="auto"/>
        <w:rPr>
          <w:rFonts w:asciiTheme="minorHAnsi" w:eastAsiaTheme="minorHAnsi" w:hAnsiTheme="minorHAnsi" w:cstheme="minorHAnsi"/>
          <w:szCs w:val="24"/>
        </w:rPr>
      </w:pPr>
    </w:p>
    <w:p w14:paraId="62FCF00A" w14:textId="77777777" w:rsidR="00AC5076" w:rsidRPr="00F51D62" w:rsidRDefault="00757C17" w:rsidP="003344FE">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With this amendment, when</w:t>
      </w:r>
      <w:r w:rsidR="00AC5076" w:rsidRPr="00F51D62">
        <w:rPr>
          <w:rFonts w:asciiTheme="minorHAnsi" w:eastAsiaTheme="minorHAnsi" w:hAnsiTheme="minorHAnsi" w:cstheme="minorHAnsi"/>
          <w:szCs w:val="24"/>
        </w:rPr>
        <w:t xml:space="preserve"> USDA designates by rulemaking a product category for preferred procurement under the BioPreferred Program, manufacturers of all products under the umbrella of that product category that meet the requirements to qualify for preferred procurement can claim that status for their products. </w:t>
      </w:r>
    </w:p>
    <w:p w14:paraId="1C91A32D" w14:textId="77777777" w:rsidR="00AC5076" w:rsidRPr="00F51D62" w:rsidRDefault="00AC5076" w:rsidP="003344FE">
      <w:pPr>
        <w:autoSpaceDE w:val="0"/>
        <w:autoSpaceDN w:val="0"/>
        <w:adjustRightInd w:val="0"/>
        <w:spacing w:after="0" w:line="240" w:lineRule="auto"/>
        <w:rPr>
          <w:rFonts w:asciiTheme="minorHAnsi" w:eastAsiaTheme="minorHAnsi" w:hAnsiTheme="minorHAnsi" w:cstheme="minorHAnsi"/>
          <w:szCs w:val="24"/>
        </w:rPr>
      </w:pPr>
    </w:p>
    <w:p w14:paraId="1A2DAC46" w14:textId="77777777" w:rsidR="00AC5076" w:rsidRPr="00F51D62" w:rsidRDefault="00AC5076" w:rsidP="003344FE">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To qualify for preferred procurement, a product must be within a designated product category and contain at least the minimum biobased content established for the designated product category. With the designation of these specific product categories, USDA invites manufacturers and vendors of qualifying products to provide information on the product, contacts, and performance testing for posting on its BioPreferred website, </w:t>
      </w:r>
      <w:hyperlink r:id="rId5" w:history="1">
        <w:r w:rsidR="00757C17" w:rsidRPr="00F51D62">
          <w:rPr>
            <w:rStyle w:val="Hyperlink"/>
            <w:rFonts w:asciiTheme="minorHAnsi" w:eastAsiaTheme="minorHAnsi" w:hAnsiTheme="minorHAnsi" w:cstheme="minorHAnsi"/>
            <w:szCs w:val="24"/>
          </w:rPr>
          <w:t>http://www.biopreferred.gov</w:t>
        </w:r>
      </w:hyperlink>
      <w:r w:rsidRPr="00F51D62">
        <w:rPr>
          <w:rFonts w:asciiTheme="minorHAnsi" w:eastAsiaTheme="minorHAnsi" w:hAnsiTheme="minorHAnsi" w:cstheme="minorHAnsi"/>
          <w:szCs w:val="24"/>
        </w:rPr>
        <w:t xml:space="preserve">. </w:t>
      </w:r>
    </w:p>
    <w:p w14:paraId="6536B260" w14:textId="77777777" w:rsidR="00AC5076" w:rsidRPr="00F51D62" w:rsidRDefault="00AC5076" w:rsidP="003344FE">
      <w:pPr>
        <w:autoSpaceDE w:val="0"/>
        <w:autoSpaceDN w:val="0"/>
        <w:adjustRightInd w:val="0"/>
        <w:spacing w:after="0" w:line="240" w:lineRule="auto"/>
        <w:rPr>
          <w:rFonts w:asciiTheme="minorHAnsi" w:eastAsiaTheme="minorHAnsi" w:hAnsiTheme="minorHAnsi" w:cstheme="minorHAnsi"/>
          <w:szCs w:val="24"/>
        </w:rPr>
      </w:pPr>
    </w:p>
    <w:p w14:paraId="7E65E882" w14:textId="77777777" w:rsidR="00AC5076" w:rsidRPr="00F51D62" w:rsidRDefault="00757C17" w:rsidP="003344FE">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In the announcement, USDA says</w:t>
      </w:r>
      <w:r w:rsidR="00AC5076" w:rsidRPr="00F51D62">
        <w:rPr>
          <w:rFonts w:asciiTheme="minorHAnsi" w:eastAsiaTheme="minorHAnsi" w:hAnsiTheme="minorHAnsi" w:cstheme="minorHAnsi"/>
          <w:szCs w:val="24"/>
        </w:rPr>
        <w:t xml:space="preserve"> that procuring agencies will be able to use this website “as one tool to determine the availability of qualifying biobased products under a designated product category.” Once USDA designates a product category, procuring agencies are generally required to purchase biobased products within the designated product category where the purchase price of the procurement product exceeds $10,000 or where the quantity of such products or of functionally equivalent products purchased over the preceding fiscal year equaled $10,000 or more.</w:t>
      </w:r>
    </w:p>
    <w:p w14:paraId="2695C90D" w14:textId="77777777" w:rsidR="00757C17" w:rsidRPr="00F51D62" w:rsidRDefault="00757C17" w:rsidP="003344FE">
      <w:pPr>
        <w:autoSpaceDE w:val="0"/>
        <w:autoSpaceDN w:val="0"/>
        <w:adjustRightInd w:val="0"/>
        <w:spacing w:after="0" w:line="240" w:lineRule="auto"/>
        <w:rPr>
          <w:rFonts w:asciiTheme="minorHAnsi" w:eastAsiaTheme="minorHAnsi" w:hAnsiTheme="minorHAnsi" w:cstheme="minorHAnsi"/>
          <w:szCs w:val="24"/>
        </w:rPr>
      </w:pPr>
    </w:p>
    <w:p w14:paraId="5B4EBB15" w14:textId="77777777" w:rsidR="00757C17" w:rsidRDefault="00757C17" w:rsidP="00757C17">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 xml:space="preserve">Some of the products that are categorized in biobased product categories that are designated for Federal preferred procurement under the BioPreferred Program may overlap with product categories that the U.S. Environmental Protection Agency (EPA) has designated under its Comprehensive Procurement Guideline (CPG) for products containing recovered (or recycled) materials. A list of EPA’s CPG program product categories may be found on its website </w:t>
      </w:r>
      <w:r w:rsidRPr="00F51D62">
        <w:rPr>
          <w:rFonts w:asciiTheme="minorHAnsi" w:eastAsiaTheme="minorHAnsi" w:hAnsiTheme="minorHAnsi" w:cstheme="minorHAnsi"/>
          <w:szCs w:val="24"/>
        </w:rPr>
        <w:lastRenderedPageBreak/>
        <w:t>(</w:t>
      </w:r>
      <w:hyperlink r:id="rId6" w:history="1">
        <w:r w:rsidR="00F51D62" w:rsidRPr="00274480">
          <w:rPr>
            <w:rStyle w:val="Hyperlink"/>
            <w:rFonts w:asciiTheme="minorHAnsi" w:eastAsiaTheme="minorHAnsi" w:hAnsiTheme="minorHAnsi" w:cstheme="minorHAnsi"/>
            <w:i/>
            <w:iCs/>
            <w:szCs w:val="24"/>
          </w:rPr>
          <w:t>www.epa.gov/smm/comprehensiveprocurement-guideline-cpg-program</w:t>
        </w:r>
      </w:hyperlink>
      <w:r w:rsidRPr="00F51D62">
        <w:rPr>
          <w:rFonts w:asciiTheme="minorHAnsi" w:eastAsiaTheme="minorHAnsi" w:hAnsiTheme="minorHAnsi" w:cstheme="minorHAnsi"/>
          <w:szCs w:val="24"/>
        </w:rPr>
        <w:t>) and in 40 CFR part 247. In this final rule, some products that are categorized in the product categories of concrete curing agents; concrete repair materials—concrete leveling; concrete repair materials—concrete patching; exterior paints and coatings; folders and filing products; other lubricants; playground and athletic surface materials; product packaging; rugs or floor mats; shopping and trash bags; soil</w:t>
      </w:r>
      <w:r w:rsid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amendments; and transmission fluids may also be categorized in one or more of the following product categories that</w:t>
      </w:r>
      <w:r w:rsid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are designated in EPA’s CPG program:</w:t>
      </w:r>
    </w:p>
    <w:p w14:paraId="766BF9C7" w14:textId="77777777" w:rsidR="00F51D62" w:rsidRPr="00F51D62" w:rsidRDefault="00F51D62" w:rsidP="00757C17">
      <w:pPr>
        <w:autoSpaceDE w:val="0"/>
        <w:autoSpaceDN w:val="0"/>
        <w:adjustRightInd w:val="0"/>
        <w:spacing w:after="0" w:line="240" w:lineRule="auto"/>
        <w:rPr>
          <w:rFonts w:asciiTheme="minorHAnsi" w:eastAsiaTheme="minorHAnsi" w:hAnsiTheme="minorHAnsi" w:cstheme="minorHAnsi"/>
          <w:szCs w:val="24"/>
        </w:rPr>
      </w:pPr>
    </w:p>
    <w:p w14:paraId="275A4FBD"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Construction Products: Cement and Concrete; Consolidated and Reprocessed Latex Paint for Specified Uses;</w:t>
      </w:r>
    </w:p>
    <w:p w14:paraId="4EB1D6A8"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 xml:space="preserve">Landscaping Products: Compost Made </w:t>
      </w:r>
      <w:proofErr w:type="gramStart"/>
      <w:r w:rsidRPr="00F51D62">
        <w:rPr>
          <w:rFonts w:asciiTheme="minorHAnsi" w:eastAsiaTheme="minorHAnsi" w:hAnsiTheme="minorHAnsi" w:cstheme="minorHAnsi"/>
          <w:szCs w:val="24"/>
        </w:rPr>
        <w:t>From</w:t>
      </w:r>
      <w:proofErr w:type="gramEnd"/>
      <w:r w:rsidRPr="00F51D62">
        <w:rPr>
          <w:rFonts w:asciiTheme="minorHAnsi" w:eastAsiaTheme="minorHAnsi" w:hAnsiTheme="minorHAnsi" w:cstheme="minorHAnsi"/>
          <w:szCs w:val="24"/>
        </w:rPr>
        <w:t xml:space="preserve"> Recovered Organic Materials; Fertilizer Made From Recovered Organic Materials;</w:t>
      </w:r>
    </w:p>
    <w:p w14:paraId="1784D26F"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Miscellaneous Products: Mats;</w:t>
      </w:r>
    </w:p>
    <w:p w14:paraId="5D89B946"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Non-Paper Office Products: Binders, Clipboards, File Folders, Clip Portfolios, and Presentation Folders; Plastic</w:t>
      </w:r>
      <w:r w:rsid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Envelopes; Plastic Trash Bags;</w:t>
      </w:r>
    </w:p>
    <w:p w14:paraId="0795A12D"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Paper Products: Paperboard and Packaging;</w:t>
      </w:r>
    </w:p>
    <w:p w14:paraId="125500A9"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Parks and Recreation Products: Playground Surfaces; Running Tracks; and</w:t>
      </w:r>
    </w:p>
    <w:p w14:paraId="6207078B"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Vehicular Products: Re-refined Lubricating Oil.</w:t>
      </w:r>
    </w:p>
    <w:p w14:paraId="42B94985" w14:textId="77777777" w:rsidR="00757C17" w:rsidRPr="00F51D62" w:rsidRDefault="00757C17" w:rsidP="00757C17">
      <w:pPr>
        <w:pStyle w:val="ListParagraph"/>
        <w:autoSpaceDE w:val="0"/>
        <w:autoSpaceDN w:val="0"/>
        <w:adjustRightInd w:val="0"/>
        <w:spacing w:after="0" w:line="240" w:lineRule="auto"/>
        <w:rPr>
          <w:rFonts w:asciiTheme="minorHAnsi" w:eastAsiaTheme="minorHAnsi" w:hAnsiTheme="minorHAnsi" w:cstheme="minorHAnsi"/>
          <w:szCs w:val="24"/>
        </w:rPr>
      </w:pPr>
    </w:p>
    <w:p w14:paraId="59464DFA"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The Federal government’s sustainable purchasing program includes the following three mandatory preference programs for designated products: The BioPreferred Program, the EPA’s CPG program, and the Environmentally Preferable Purchasing program. The Council on Environmental Quality (CEQ) and the</w:t>
      </w:r>
      <w:r w:rsid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Office of Management and Budget (OMB) encourage agencies to implement these components comprehensively when purchasing products and services.</w:t>
      </w:r>
    </w:p>
    <w:p w14:paraId="792A67C7"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p>
    <w:p w14:paraId="6ADC3613"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 xml:space="preserve">Federal procurement officials should also note that many biobased products may be available for purchase by Federal agencies through the </w:t>
      </w:r>
      <w:proofErr w:type="spellStart"/>
      <w:r w:rsidRPr="00F51D62">
        <w:rPr>
          <w:rFonts w:asciiTheme="minorHAnsi" w:eastAsiaTheme="minorHAnsi" w:hAnsiTheme="minorHAnsi" w:cstheme="minorHAnsi"/>
          <w:szCs w:val="24"/>
        </w:rPr>
        <w:t>AbilityOne</w:t>
      </w:r>
      <w:proofErr w:type="spellEnd"/>
      <w:r w:rsidRPr="00F51D62">
        <w:rPr>
          <w:rFonts w:asciiTheme="minorHAnsi" w:eastAsiaTheme="minorHAnsi" w:hAnsiTheme="minorHAnsi" w:cstheme="minorHAnsi"/>
          <w:szCs w:val="24"/>
        </w:rPr>
        <w:t xml:space="preserve"> Program. Under this program, members of organizations including the National</w:t>
      </w:r>
      <w:r w:rsid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 xml:space="preserve">Industries for the Blind (NIB) and </w:t>
      </w:r>
      <w:proofErr w:type="spellStart"/>
      <w:r w:rsidRPr="00F51D62">
        <w:rPr>
          <w:rFonts w:asciiTheme="minorHAnsi" w:eastAsiaTheme="minorHAnsi" w:hAnsiTheme="minorHAnsi" w:cstheme="minorHAnsi"/>
          <w:szCs w:val="24"/>
        </w:rPr>
        <w:t>SourceAmerica</w:t>
      </w:r>
      <w:proofErr w:type="spellEnd"/>
      <w:r w:rsidRPr="00F51D62">
        <w:rPr>
          <w:rFonts w:asciiTheme="minorHAnsi" w:eastAsiaTheme="minorHAnsi" w:hAnsiTheme="minorHAnsi" w:cstheme="minorHAnsi"/>
          <w:szCs w:val="24"/>
        </w:rPr>
        <w:t xml:space="preserve"> offer products and services for preferred procurement by Federal agencies.</w:t>
      </w:r>
    </w:p>
    <w:p w14:paraId="1D136F9D"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p>
    <w:p w14:paraId="0DADA57E"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Some biobased products that are categorized in the product categories of adhesives; cleaning tools; clothing; deicers;</w:t>
      </w:r>
      <w:r w:rsidR="00F51D62">
        <w:rPr>
          <w:rFonts w:asciiTheme="minorHAnsi" w:eastAsiaTheme="minorHAnsi" w:hAnsiTheme="minorHAnsi" w:cstheme="minorHAnsi"/>
          <w:szCs w:val="24"/>
        </w:rPr>
        <w:t xml:space="preserve"> </w:t>
      </w:r>
      <w:r w:rsidRPr="00F51D62">
        <w:rPr>
          <w:rFonts w:asciiTheme="minorHAnsi" w:eastAsiaTheme="minorHAnsi" w:hAnsiTheme="minorHAnsi" w:cstheme="minorHAnsi"/>
          <w:szCs w:val="24"/>
        </w:rPr>
        <w:t xml:space="preserve">durable cutlery; durable tableware; exterior paints and coatings; feminine care products; folders and filing products; gardening supplies and accessories; kitchenware and accessories; other lubricants; rugs and floor mats; and toys and sporting gear could be available for purchase in one or more of the following product categories in the </w:t>
      </w:r>
      <w:proofErr w:type="spellStart"/>
      <w:r w:rsidRPr="00F51D62">
        <w:rPr>
          <w:rFonts w:asciiTheme="minorHAnsi" w:eastAsiaTheme="minorHAnsi" w:hAnsiTheme="minorHAnsi" w:cstheme="minorHAnsi"/>
          <w:szCs w:val="24"/>
        </w:rPr>
        <w:t>AbilityOne</w:t>
      </w:r>
      <w:proofErr w:type="spellEnd"/>
      <w:r w:rsidRPr="00F51D62">
        <w:rPr>
          <w:rFonts w:asciiTheme="minorHAnsi" w:eastAsiaTheme="minorHAnsi" w:hAnsiTheme="minorHAnsi" w:cstheme="minorHAnsi"/>
          <w:szCs w:val="24"/>
        </w:rPr>
        <w:t xml:space="preserve"> Catalog:</w:t>
      </w:r>
    </w:p>
    <w:p w14:paraId="59B282E0"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p>
    <w:p w14:paraId="3053BCBE"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Cleaning and Janitorial Products,</w:t>
      </w:r>
    </w:p>
    <w:p w14:paraId="177C980C"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Clothing,</w:t>
      </w:r>
    </w:p>
    <w:p w14:paraId="21E1C1BA"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Furniture,</w:t>
      </w:r>
    </w:p>
    <w:p w14:paraId="6CD1CD57"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Hardware and Paints,</w:t>
      </w:r>
    </w:p>
    <w:p w14:paraId="47BF7B77"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Kitchen and Breakroom Supplies,</w:t>
      </w:r>
    </w:p>
    <w:p w14:paraId="17F05D9F"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lastRenderedPageBreak/>
        <w:t>Mailing and Shipping Supplies,</w:t>
      </w:r>
    </w:p>
    <w:p w14:paraId="7B446AFC"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Office Supplies,</w:t>
      </w:r>
    </w:p>
    <w:p w14:paraId="0AC937AB"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 xml:space="preserve">Outdoor Supplies, and </w:t>
      </w:r>
    </w:p>
    <w:p w14:paraId="646940CF" w14:textId="77777777" w:rsidR="00757C17" w:rsidRPr="00F51D62" w:rsidRDefault="00757C17" w:rsidP="00757C17">
      <w:pPr>
        <w:pStyle w:val="ListParagraph"/>
        <w:numPr>
          <w:ilvl w:val="0"/>
          <w:numId w:val="5"/>
        </w:num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Skin and Personal Care.</w:t>
      </w:r>
    </w:p>
    <w:p w14:paraId="34E82D0D" w14:textId="77777777" w:rsidR="00757C17" w:rsidRPr="00F51D62" w:rsidRDefault="00757C17" w:rsidP="00757C17">
      <w:pPr>
        <w:autoSpaceDE w:val="0"/>
        <w:autoSpaceDN w:val="0"/>
        <w:adjustRightInd w:val="0"/>
        <w:spacing w:after="0" w:line="240" w:lineRule="auto"/>
        <w:rPr>
          <w:rFonts w:asciiTheme="minorHAnsi" w:eastAsiaTheme="minorHAnsi" w:hAnsiTheme="minorHAnsi" w:cstheme="minorHAnsi"/>
          <w:szCs w:val="24"/>
        </w:rPr>
      </w:pPr>
    </w:p>
    <w:p w14:paraId="4A151C1F" w14:textId="4E6D1313" w:rsidR="00757C17" w:rsidRDefault="00757C17" w:rsidP="00757C17">
      <w:pPr>
        <w:autoSpaceDE w:val="0"/>
        <w:autoSpaceDN w:val="0"/>
        <w:adjustRightInd w:val="0"/>
        <w:spacing w:after="0" w:line="240" w:lineRule="auto"/>
        <w:rPr>
          <w:rFonts w:asciiTheme="minorHAnsi" w:eastAsiaTheme="minorHAnsi" w:hAnsiTheme="minorHAnsi" w:cstheme="minorHAnsi"/>
          <w:szCs w:val="24"/>
        </w:rPr>
      </w:pPr>
      <w:r w:rsidRPr="00F51D62">
        <w:rPr>
          <w:rFonts w:asciiTheme="minorHAnsi" w:eastAsiaTheme="minorHAnsi" w:hAnsiTheme="minorHAnsi" w:cstheme="minorHAnsi"/>
          <w:szCs w:val="24"/>
        </w:rPr>
        <w:t xml:space="preserve">Because additional categories of products are frequently added to the </w:t>
      </w:r>
      <w:proofErr w:type="spellStart"/>
      <w:r w:rsidRPr="00F51D62">
        <w:rPr>
          <w:rFonts w:asciiTheme="minorHAnsi" w:eastAsiaTheme="minorHAnsi" w:hAnsiTheme="minorHAnsi" w:cstheme="minorHAnsi"/>
          <w:szCs w:val="24"/>
        </w:rPr>
        <w:t>AbilityOne</w:t>
      </w:r>
      <w:proofErr w:type="spellEnd"/>
      <w:r w:rsidRPr="00F51D62">
        <w:rPr>
          <w:rFonts w:asciiTheme="minorHAnsi" w:eastAsiaTheme="minorHAnsi" w:hAnsiTheme="minorHAnsi" w:cstheme="minorHAnsi"/>
          <w:szCs w:val="24"/>
        </w:rPr>
        <w:t xml:space="preserve"> Program, it is possible that biobased products within other product categories being designated today may be available through the </w:t>
      </w:r>
      <w:proofErr w:type="spellStart"/>
      <w:r w:rsidRPr="00F51D62">
        <w:rPr>
          <w:rFonts w:asciiTheme="minorHAnsi" w:eastAsiaTheme="minorHAnsi" w:hAnsiTheme="minorHAnsi" w:cstheme="minorHAnsi"/>
          <w:szCs w:val="24"/>
        </w:rPr>
        <w:t>AbilityOne</w:t>
      </w:r>
      <w:proofErr w:type="spellEnd"/>
      <w:r w:rsidRPr="00F51D62">
        <w:rPr>
          <w:rFonts w:asciiTheme="minorHAnsi" w:eastAsiaTheme="minorHAnsi" w:hAnsiTheme="minorHAnsi" w:cstheme="minorHAnsi"/>
          <w:szCs w:val="24"/>
        </w:rPr>
        <w:t xml:space="preserve"> Program in the future. Procurement of biobased products through the </w:t>
      </w:r>
      <w:proofErr w:type="spellStart"/>
      <w:r w:rsidRPr="00F51D62">
        <w:rPr>
          <w:rFonts w:asciiTheme="minorHAnsi" w:eastAsiaTheme="minorHAnsi" w:hAnsiTheme="minorHAnsi" w:cstheme="minorHAnsi"/>
          <w:szCs w:val="24"/>
        </w:rPr>
        <w:t>AbilityOne</w:t>
      </w:r>
      <w:proofErr w:type="spellEnd"/>
      <w:r w:rsidRPr="00F51D62">
        <w:rPr>
          <w:rFonts w:asciiTheme="minorHAnsi" w:eastAsiaTheme="minorHAnsi" w:hAnsiTheme="minorHAnsi" w:cstheme="minorHAnsi"/>
          <w:szCs w:val="24"/>
        </w:rPr>
        <w:t xml:space="preserve"> Program would further the objectives of both the </w:t>
      </w:r>
      <w:proofErr w:type="spellStart"/>
      <w:r w:rsidRPr="00F51D62">
        <w:rPr>
          <w:rFonts w:asciiTheme="minorHAnsi" w:eastAsiaTheme="minorHAnsi" w:hAnsiTheme="minorHAnsi" w:cstheme="minorHAnsi"/>
          <w:szCs w:val="24"/>
        </w:rPr>
        <w:t>AbilityOne</w:t>
      </w:r>
      <w:proofErr w:type="spellEnd"/>
      <w:r w:rsidRPr="00F51D62">
        <w:rPr>
          <w:rFonts w:asciiTheme="minorHAnsi" w:eastAsiaTheme="minorHAnsi" w:hAnsiTheme="minorHAnsi" w:cstheme="minorHAnsi"/>
          <w:szCs w:val="24"/>
        </w:rPr>
        <w:t xml:space="preserve"> Program and the Federal preferred procurement program.</w:t>
      </w:r>
    </w:p>
    <w:p w14:paraId="49818E0D" w14:textId="77777777" w:rsidR="00D433E5" w:rsidRPr="00F51D62" w:rsidRDefault="00D433E5" w:rsidP="00757C17">
      <w:pPr>
        <w:autoSpaceDE w:val="0"/>
        <w:autoSpaceDN w:val="0"/>
        <w:adjustRightInd w:val="0"/>
        <w:spacing w:after="0" w:line="240" w:lineRule="auto"/>
        <w:rPr>
          <w:rFonts w:asciiTheme="minorHAnsi" w:eastAsiaTheme="minorHAnsi" w:hAnsiTheme="minorHAnsi" w:cstheme="minorHAnsi"/>
          <w:szCs w:val="24"/>
        </w:rPr>
      </w:pPr>
    </w:p>
    <w:p w14:paraId="2663CA30" w14:textId="77777777" w:rsidR="00D433E5" w:rsidRPr="00D433E5" w:rsidRDefault="00D433E5" w:rsidP="00D433E5">
      <w:pPr>
        <w:pStyle w:val="Heading1"/>
        <w:jc w:val="left"/>
        <w:rPr>
          <w:rFonts w:eastAsiaTheme="minorHAnsi"/>
        </w:rPr>
      </w:pPr>
      <w:r w:rsidRPr="00D433E5">
        <w:rPr>
          <w:rFonts w:eastAsiaTheme="minorHAnsi"/>
        </w:rPr>
        <w:t>Preparing for the FBO Transition to beta.SAM.gov</w:t>
      </w:r>
    </w:p>
    <w:p w14:paraId="6D0501EF" w14:textId="2BB9A70F"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In November 2019, </w:t>
      </w:r>
      <w:hyperlink r:id="rId7" w:history="1">
        <w:r w:rsidRPr="00D433E5">
          <w:rPr>
            <w:rStyle w:val="Hyperlink"/>
            <w:rFonts w:asciiTheme="minorHAnsi" w:hAnsiTheme="minorHAnsi" w:cstheme="minorHAnsi"/>
          </w:rPr>
          <w:t>FBO.gov</w:t>
        </w:r>
      </w:hyperlink>
      <w:r w:rsidRPr="00D433E5">
        <w:rPr>
          <w:rFonts w:asciiTheme="minorHAnsi" w:hAnsiTheme="minorHAnsi" w:cstheme="minorHAnsi"/>
        </w:rPr>
        <w:t xml:space="preserve"> is being modernized and consolidated into a new system, at </w:t>
      </w:r>
      <w:hyperlink r:id="rId8" w:history="1">
        <w:r w:rsidRPr="00D433E5">
          <w:rPr>
            <w:rStyle w:val="Hyperlink"/>
            <w:rFonts w:asciiTheme="minorHAnsi" w:hAnsiTheme="minorHAnsi" w:cstheme="minorHAnsi"/>
          </w:rPr>
          <w:t>beta.SAM.gov</w:t>
        </w:r>
      </w:hyperlink>
      <w:r w:rsidRPr="00D433E5">
        <w:rPr>
          <w:rFonts w:asciiTheme="minorHAnsi" w:hAnsiTheme="minorHAnsi" w:cstheme="minorHAnsi"/>
        </w:rPr>
        <w:t>. Once the current SAM.gov is migrated as well, the “beta” name will be dropped and the name for this new system will just be SAM.gov.</w:t>
      </w:r>
    </w:p>
    <w:p w14:paraId="6CFC6394" w14:textId="77777777" w:rsidR="00D433E5" w:rsidRDefault="00D433E5" w:rsidP="00D433E5">
      <w:pPr>
        <w:rPr>
          <w:rFonts w:asciiTheme="minorHAnsi" w:hAnsiTheme="minorHAnsi" w:cstheme="minorHAnsi"/>
        </w:rPr>
      </w:pPr>
      <w:r w:rsidRPr="00D433E5">
        <w:rPr>
          <w:rFonts w:asciiTheme="minorHAnsi" w:hAnsiTheme="minorHAnsi" w:cstheme="minorHAnsi"/>
        </w:rPr>
        <w:t>This will provide not only better security, data quality, and convenience for users, but will also</w:t>
      </w:r>
      <w:r>
        <w:rPr>
          <w:rFonts w:asciiTheme="minorHAnsi" w:hAnsiTheme="minorHAnsi" w:cstheme="minorHAnsi"/>
        </w:rPr>
        <w:t xml:space="preserve"> </w:t>
      </w:r>
      <w:r w:rsidRPr="00D433E5">
        <w:rPr>
          <w:rFonts w:asciiTheme="minorHAnsi" w:hAnsiTheme="minorHAnsi" w:cstheme="minorHAnsi"/>
        </w:rPr>
        <w:t>reduce barriers for doing business with the government, reduce reporting burden, and increase</w:t>
      </w:r>
      <w:r>
        <w:rPr>
          <w:rFonts w:asciiTheme="minorHAnsi" w:hAnsiTheme="minorHAnsi" w:cstheme="minorHAnsi"/>
        </w:rPr>
        <w:t xml:space="preserve"> </w:t>
      </w:r>
      <w:r w:rsidRPr="00D433E5">
        <w:rPr>
          <w:rFonts w:asciiTheme="minorHAnsi" w:hAnsiTheme="minorHAnsi" w:cstheme="minorHAnsi"/>
        </w:rPr>
        <w:t>transparency into federal spending.</w:t>
      </w:r>
    </w:p>
    <w:p w14:paraId="2D505D7C" w14:textId="014FC9C6"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To ensure that your transition experience will be as seamless as possible, you should confirm what you have today in </w:t>
      </w:r>
      <w:hyperlink r:id="rId9" w:history="1">
        <w:r w:rsidRPr="00D433E5">
          <w:rPr>
            <w:rStyle w:val="Hyperlink"/>
            <w:rFonts w:asciiTheme="minorHAnsi" w:hAnsiTheme="minorHAnsi" w:cstheme="minorHAnsi"/>
          </w:rPr>
          <w:t>FBO.gov</w:t>
        </w:r>
      </w:hyperlink>
      <w:r w:rsidRPr="00D433E5">
        <w:rPr>
          <w:rFonts w:asciiTheme="minorHAnsi" w:hAnsiTheme="minorHAnsi" w:cstheme="minorHAnsi"/>
        </w:rPr>
        <w:t>.  The several things you want to look at and make a note of so that you do not lose any information during the transition:</w:t>
      </w:r>
    </w:p>
    <w:p w14:paraId="581594D7" w14:textId="77777777" w:rsidR="00D433E5" w:rsidRDefault="00D433E5" w:rsidP="00012238">
      <w:pPr>
        <w:pStyle w:val="ListParagraph"/>
        <w:numPr>
          <w:ilvl w:val="0"/>
          <w:numId w:val="5"/>
        </w:numPr>
        <w:rPr>
          <w:rFonts w:asciiTheme="minorHAnsi" w:hAnsiTheme="minorHAnsi" w:cstheme="minorHAnsi"/>
        </w:rPr>
      </w:pPr>
      <w:r w:rsidRPr="00D433E5">
        <w:rPr>
          <w:rFonts w:asciiTheme="minorHAnsi" w:hAnsiTheme="minorHAnsi" w:cstheme="minorHAnsi"/>
        </w:rPr>
        <w:t>What is my role(s)/permission in FBO.gov?</w:t>
      </w:r>
    </w:p>
    <w:p w14:paraId="5FF57438" w14:textId="77777777" w:rsidR="00D433E5" w:rsidRDefault="00D433E5" w:rsidP="0014663D">
      <w:pPr>
        <w:pStyle w:val="ListParagraph"/>
        <w:numPr>
          <w:ilvl w:val="0"/>
          <w:numId w:val="5"/>
        </w:numPr>
        <w:rPr>
          <w:rFonts w:asciiTheme="minorHAnsi" w:hAnsiTheme="minorHAnsi" w:cstheme="minorHAnsi"/>
        </w:rPr>
      </w:pPr>
      <w:r w:rsidRPr="00D433E5">
        <w:rPr>
          <w:rFonts w:asciiTheme="minorHAnsi" w:hAnsiTheme="minorHAnsi" w:cstheme="minorHAnsi"/>
        </w:rPr>
        <w:t xml:space="preserve">What is my FBO.gov </w:t>
      </w:r>
      <w:proofErr w:type="spellStart"/>
      <w:r w:rsidRPr="00D433E5">
        <w:rPr>
          <w:rFonts w:asciiTheme="minorHAnsi" w:hAnsiTheme="minorHAnsi" w:cstheme="minorHAnsi"/>
        </w:rPr>
        <w:t>UserName</w:t>
      </w:r>
      <w:proofErr w:type="spellEnd"/>
      <w:r w:rsidRPr="00D433E5">
        <w:rPr>
          <w:rFonts w:asciiTheme="minorHAnsi" w:hAnsiTheme="minorHAnsi" w:cstheme="minorHAnsi"/>
        </w:rPr>
        <w:t xml:space="preserve"> and Password?</w:t>
      </w:r>
    </w:p>
    <w:p w14:paraId="2F9129F9" w14:textId="77777777" w:rsidR="00D433E5" w:rsidRDefault="00D433E5" w:rsidP="00623159">
      <w:pPr>
        <w:pStyle w:val="ListParagraph"/>
        <w:numPr>
          <w:ilvl w:val="0"/>
          <w:numId w:val="5"/>
        </w:numPr>
        <w:rPr>
          <w:rFonts w:asciiTheme="minorHAnsi" w:hAnsiTheme="minorHAnsi" w:cstheme="minorHAnsi"/>
        </w:rPr>
      </w:pPr>
      <w:r w:rsidRPr="00D433E5">
        <w:rPr>
          <w:rFonts w:asciiTheme="minorHAnsi" w:hAnsiTheme="minorHAnsi" w:cstheme="minorHAnsi"/>
        </w:rPr>
        <w:t>What Office(s) am I associated with in FBO?</w:t>
      </w:r>
    </w:p>
    <w:p w14:paraId="0EE62DE9" w14:textId="77777777" w:rsidR="00D433E5" w:rsidRDefault="00D433E5" w:rsidP="000451F8">
      <w:pPr>
        <w:pStyle w:val="ListParagraph"/>
        <w:numPr>
          <w:ilvl w:val="0"/>
          <w:numId w:val="5"/>
        </w:numPr>
        <w:rPr>
          <w:rFonts w:asciiTheme="minorHAnsi" w:hAnsiTheme="minorHAnsi" w:cstheme="minorHAnsi"/>
        </w:rPr>
      </w:pPr>
      <w:r w:rsidRPr="00D433E5">
        <w:rPr>
          <w:rFonts w:asciiTheme="minorHAnsi" w:hAnsiTheme="minorHAnsi" w:cstheme="minorHAnsi"/>
        </w:rPr>
        <w:t>What notices am I watching?</w:t>
      </w:r>
    </w:p>
    <w:p w14:paraId="3CF8207F" w14:textId="1EE667AC" w:rsidR="00D433E5" w:rsidRPr="00D433E5" w:rsidRDefault="00D433E5" w:rsidP="00E901FE">
      <w:pPr>
        <w:pStyle w:val="ListParagraph"/>
        <w:numPr>
          <w:ilvl w:val="0"/>
          <w:numId w:val="5"/>
        </w:numPr>
        <w:rPr>
          <w:rFonts w:asciiTheme="minorHAnsi" w:hAnsiTheme="minorHAnsi" w:cstheme="minorHAnsi"/>
        </w:rPr>
      </w:pPr>
      <w:r w:rsidRPr="00D433E5">
        <w:rPr>
          <w:rFonts w:asciiTheme="minorHAnsi" w:hAnsiTheme="minorHAnsi" w:cstheme="minorHAnsi"/>
        </w:rPr>
        <w:t>What do I have in my Search Agent?</w:t>
      </w:r>
    </w:p>
    <w:p w14:paraId="1F5EE857" w14:textId="60604CA5"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Most importantly, the period for password resets will commence </w:t>
      </w:r>
      <w:r w:rsidRPr="00D433E5">
        <w:rPr>
          <w:rFonts w:asciiTheme="minorHAnsi" w:hAnsiTheme="minorHAnsi" w:cstheme="minorHAnsi"/>
          <w:b/>
          <w:bCs/>
        </w:rPr>
        <w:t xml:space="preserve">AFTER </w:t>
      </w:r>
      <w:r w:rsidRPr="00D433E5">
        <w:rPr>
          <w:rFonts w:asciiTheme="minorHAnsi" w:hAnsiTheme="minorHAnsi" w:cstheme="minorHAnsi"/>
        </w:rPr>
        <w:t xml:space="preserve">August 12, 2019.  All FBO users are encouraged to reset their passwords as soon after this date as possible, to avoid difficulties accessing their FBO.gov accounts.  This will allow current FBO accountholders to migrate their </w:t>
      </w:r>
      <w:hyperlink r:id="rId10" w:history="1">
        <w:r w:rsidRPr="00D433E5">
          <w:rPr>
            <w:rStyle w:val="Hyperlink"/>
            <w:rFonts w:asciiTheme="minorHAnsi" w:hAnsiTheme="minorHAnsi" w:cstheme="minorHAnsi"/>
          </w:rPr>
          <w:t>FBO.gov</w:t>
        </w:r>
      </w:hyperlink>
      <w:r w:rsidRPr="00D433E5">
        <w:rPr>
          <w:rFonts w:asciiTheme="minorHAnsi" w:hAnsiTheme="minorHAnsi" w:cstheme="minorHAnsi"/>
        </w:rPr>
        <w:t xml:space="preserve"> role to </w:t>
      </w:r>
      <w:hyperlink r:id="rId11" w:history="1">
        <w:r w:rsidRPr="00D433E5">
          <w:rPr>
            <w:rStyle w:val="Hyperlink"/>
            <w:rFonts w:asciiTheme="minorHAnsi" w:hAnsiTheme="minorHAnsi" w:cstheme="minorHAnsi"/>
          </w:rPr>
          <w:t>beta.SAM.gov</w:t>
        </w:r>
      </w:hyperlink>
      <w:r w:rsidRPr="00D433E5">
        <w:rPr>
          <w:rFonts w:asciiTheme="minorHAnsi" w:hAnsiTheme="minorHAnsi" w:cstheme="minorHAnsi"/>
        </w:rPr>
        <w:t>.</w:t>
      </w:r>
    </w:p>
    <w:p w14:paraId="17041292" w14:textId="3F8119D8" w:rsidR="00D433E5" w:rsidRDefault="00D433E5" w:rsidP="00D433E5">
      <w:pPr>
        <w:rPr>
          <w:rFonts w:asciiTheme="minorHAnsi" w:hAnsiTheme="minorHAnsi" w:cstheme="minorHAnsi"/>
        </w:rPr>
      </w:pPr>
      <w:r w:rsidRPr="00D433E5">
        <w:rPr>
          <w:rFonts w:asciiTheme="minorHAnsi" w:hAnsiTheme="minorHAnsi" w:cstheme="minorHAnsi"/>
        </w:rPr>
        <w:t>After you reset your password, follow these steps:</w:t>
      </w:r>
    </w:p>
    <w:p w14:paraId="23E76509" w14:textId="77777777" w:rsidR="00D433E5" w:rsidRDefault="00D433E5" w:rsidP="007C5FDE">
      <w:pPr>
        <w:pStyle w:val="ListParagraph"/>
        <w:numPr>
          <w:ilvl w:val="0"/>
          <w:numId w:val="5"/>
        </w:numPr>
        <w:rPr>
          <w:rFonts w:asciiTheme="minorHAnsi" w:hAnsiTheme="minorHAnsi" w:cstheme="minorHAnsi"/>
        </w:rPr>
      </w:pPr>
      <w:r w:rsidRPr="00D433E5">
        <w:rPr>
          <w:rFonts w:asciiTheme="minorHAnsi" w:hAnsiTheme="minorHAnsi" w:cstheme="minorHAnsi"/>
        </w:rPr>
        <w:t xml:space="preserve">Go to </w:t>
      </w:r>
      <w:hyperlink r:id="rId12" w:history="1">
        <w:r w:rsidRPr="00D433E5">
          <w:rPr>
            <w:rStyle w:val="Hyperlink"/>
            <w:rFonts w:asciiTheme="minorHAnsi" w:hAnsiTheme="minorHAnsi" w:cstheme="minorHAnsi"/>
          </w:rPr>
          <w:t>beta.SAM.gov</w:t>
        </w:r>
      </w:hyperlink>
    </w:p>
    <w:p w14:paraId="246CB227" w14:textId="77777777" w:rsidR="00D433E5" w:rsidRDefault="00D433E5" w:rsidP="00B62FE8">
      <w:pPr>
        <w:pStyle w:val="ListParagraph"/>
        <w:numPr>
          <w:ilvl w:val="0"/>
          <w:numId w:val="5"/>
        </w:numPr>
        <w:rPr>
          <w:rFonts w:asciiTheme="minorHAnsi" w:hAnsiTheme="minorHAnsi" w:cstheme="minorHAnsi"/>
        </w:rPr>
      </w:pPr>
      <w:r w:rsidRPr="00D433E5">
        <w:rPr>
          <w:rFonts w:asciiTheme="minorHAnsi" w:hAnsiTheme="minorHAnsi" w:cstheme="minorHAnsi"/>
        </w:rPr>
        <w:t>Select “Sign In” from the upper right corner, at which point you will be redirected to a login.gov prompt</w:t>
      </w:r>
    </w:p>
    <w:p w14:paraId="56DF5643" w14:textId="1383053D" w:rsidR="00D433E5" w:rsidRPr="00D433E5" w:rsidRDefault="00D433E5" w:rsidP="00B62FE8">
      <w:pPr>
        <w:pStyle w:val="ListParagraph"/>
        <w:numPr>
          <w:ilvl w:val="0"/>
          <w:numId w:val="5"/>
        </w:numPr>
        <w:rPr>
          <w:rFonts w:asciiTheme="minorHAnsi" w:hAnsiTheme="minorHAnsi" w:cstheme="minorHAnsi"/>
        </w:rPr>
      </w:pPr>
      <w:r w:rsidRPr="00D433E5">
        <w:rPr>
          <w:rFonts w:asciiTheme="minorHAnsi" w:hAnsiTheme="minorHAnsi" w:cstheme="minorHAnsi"/>
        </w:rPr>
        <w:lastRenderedPageBreak/>
        <w:t>Follow the instructions on the screen</w:t>
      </w:r>
    </w:p>
    <w:p w14:paraId="19DB92F9" w14:textId="77777777" w:rsidR="00D433E5" w:rsidRPr="00D433E5" w:rsidRDefault="00D433E5" w:rsidP="00D433E5">
      <w:pPr>
        <w:rPr>
          <w:rFonts w:asciiTheme="minorHAnsi" w:hAnsiTheme="minorHAnsi" w:cstheme="minorHAnsi"/>
          <w:color w:val="1155CD"/>
        </w:rPr>
      </w:pPr>
      <w:r w:rsidRPr="00D433E5">
        <w:rPr>
          <w:rFonts w:asciiTheme="minorHAnsi" w:hAnsiTheme="minorHAnsi" w:cstheme="minorHAnsi"/>
          <w:color w:val="000000"/>
        </w:rPr>
        <w:t xml:space="preserve">Users may choose to use the video walkthrough of sign up/sign in to ensure that each step is done correctly - If you chose to, you can access it here: </w:t>
      </w:r>
      <w:r w:rsidRPr="00D433E5">
        <w:rPr>
          <w:rFonts w:asciiTheme="minorHAnsi" w:hAnsiTheme="minorHAnsi" w:cstheme="minorHAnsi"/>
          <w:color w:val="1155CD"/>
        </w:rPr>
        <w:t>https://beta.sam.gov/cm/videos/detail?id=231</w:t>
      </w:r>
    </w:p>
    <w:p w14:paraId="17A2132E" w14:textId="77777777" w:rsidR="00D433E5" w:rsidRPr="00D433E5" w:rsidRDefault="00D433E5" w:rsidP="00D433E5">
      <w:pPr>
        <w:rPr>
          <w:rFonts w:asciiTheme="minorHAnsi" w:hAnsiTheme="minorHAnsi" w:cstheme="minorHAnsi"/>
          <w:color w:val="000000"/>
        </w:rPr>
      </w:pPr>
      <w:r w:rsidRPr="00D433E5">
        <w:rPr>
          <w:rFonts w:asciiTheme="minorHAnsi" w:hAnsiTheme="minorHAnsi" w:cstheme="minorHAnsi"/>
          <w:color w:val="000000"/>
        </w:rPr>
        <w:t xml:space="preserve">Additional information (FAQs, </w:t>
      </w:r>
      <w:proofErr w:type="spellStart"/>
      <w:r w:rsidRPr="00D433E5">
        <w:rPr>
          <w:rFonts w:asciiTheme="minorHAnsi" w:hAnsiTheme="minorHAnsi" w:cstheme="minorHAnsi"/>
          <w:color w:val="000000"/>
        </w:rPr>
        <w:t>etc</w:t>
      </w:r>
      <w:proofErr w:type="spellEnd"/>
      <w:r w:rsidRPr="00D433E5">
        <w:rPr>
          <w:rFonts w:asciiTheme="minorHAnsi" w:hAnsiTheme="minorHAnsi" w:cstheme="minorHAnsi"/>
          <w:color w:val="000000"/>
        </w:rPr>
        <w:t xml:space="preserve">) is available in the Learning Center on </w:t>
      </w:r>
      <w:hyperlink r:id="rId13" w:history="1">
        <w:r w:rsidRPr="00D433E5">
          <w:rPr>
            <w:rStyle w:val="Hyperlink"/>
            <w:rFonts w:asciiTheme="minorHAnsi" w:hAnsiTheme="minorHAnsi" w:cstheme="minorHAnsi"/>
          </w:rPr>
          <w:t>beta.SAM.gov</w:t>
        </w:r>
      </w:hyperlink>
      <w:r w:rsidRPr="00D433E5">
        <w:rPr>
          <w:rFonts w:asciiTheme="minorHAnsi" w:hAnsiTheme="minorHAnsi" w:cstheme="minorHAnsi"/>
          <w:color w:val="000000"/>
        </w:rPr>
        <w:t>, and on the login Quick Start Guide.</w:t>
      </w:r>
    </w:p>
    <w:p w14:paraId="3FECE4DF"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After you have logged on to </w:t>
      </w:r>
      <w:hyperlink r:id="rId14" w:history="1">
        <w:r w:rsidRPr="00D433E5">
          <w:rPr>
            <w:rStyle w:val="Hyperlink"/>
            <w:rFonts w:asciiTheme="minorHAnsi" w:hAnsiTheme="minorHAnsi" w:cstheme="minorHAnsi"/>
          </w:rPr>
          <w:t>beta.SAM.gov</w:t>
        </w:r>
      </w:hyperlink>
      <w:r w:rsidRPr="00D433E5">
        <w:rPr>
          <w:rFonts w:asciiTheme="minorHAnsi" w:hAnsiTheme="minorHAnsi" w:cstheme="minorHAnsi"/>
        </w:rPr>
        <w:t xml:space="preserve">, the next step is to either migrate your role or request one, approximately 4-6 weeks before </w:t>
      </w:r>
      <w:hyperlink r:id="rId15" w:history="1">
        <w:r w:rsidRPr="00D433E5">
          <w:rPr>
            <w:rStyle w:val="Hyperlink"/>
            <w:rFonts w:asciiTheme="minorHAnsi" w:hAnsiTheme="minorHAnsi" w:cstheme="minorHAnsi"/>
          </w:rPr>
          <w:t>FBO.gov</w:t>
        </w:r>
      </w:hyperlink>
      <w:r w:rsidRPr="00D433E5">
        <w:rPr>
          <w:rFonts w:asciiTheme="minorHAnsi" w:hAnsiTheme="minorHAnsi" w:cstheme="minorHAnsi"/>
        </w:rPr>
        <w:t xml:space="preserve"> is decommissioned. Attempts made to migrate before that time will fail. Roles can be requested or assigned at any time.</w:t>
      </w:r>
    </w:p>
    <w:p w14:paraId="0C97BBA7"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After you have created your user profile, you will be given the ability to request a role. If you have an active account in </w:t>
      </w:r>
      <w:hyperlink r:id="rId16" w:history="1">
        <w:r w:rsidRPr="00D433E5">
          <w:rPr>
            <w:rStyle w:val="Hyperlink"/>
            <w:rFonts w:asciiTheme="minorHAnsi" w:hAnsiTheme="minorHAnsi" w:cstheme="minorHAnsi"/>
          </w:rPr>
          <w:t>FBO.gov</w:t>
        </w:r>
      </w:hyperlink>
      <w:r w:rsidRPr="00D433E5">
        <w:rPr>
          <w:rFonts w:asciiTheme="minorHAnsi" w:hAnsiTheme="minorHAnsi" w:cstheme="minorHAnsi"/>
        </w:rPr>
        <w:t xml:space="preserve"> and the migration period is open, you may skip this step and choose to migrate instead.</w:t>
      </w:r>
    </w:p>
    <w:p w14:paraId="7ED2FF44" w14:textId="77777777" w:rsidR="00D433E5" w:rsidRPr="00D433E5" w:rsidRDefault="00D433E5" w:rsidP="00D433E5">
      <w:pPr>
        <w:rPr>
          <w:rFonts w:asciiTheme="minorHAnsi" w:hAnsiTheme="minorHAnsi" w:cstheme="minorHAnsi"/>
          <w:b/>
          <w:bCs/>
          <w:sz w:val="21"/>
          <w:szCs w:val="21"/>
        </w:rPr>
      </w:pPr>
      <w:r w:rsidRPr="00D433E5">
        <w:rPr>
          <w:rFonts w:asciiTheme="minorHAnsi" w:hAnsiTheme="minorHAnsi" w:cstheme="minorHAnsi"/>
          <w:b/>
          <w:bCs/>
          <w:sz w:val="21"/>
          <w:szCs w:val="21"/>
        </w:rPr>
        <w:t>To request a role:</w:t>
      </w:r>
    </w:p>
    <w:p w14:paraId="7F97C584" w14:textId="5D30D3F8" w:rsidR="00D433E5" w:rsidRPr="00D433E5" w:rsidRDefault="00D433E5" w:rsidP="00D433E5">
      <w:pPr>
        <w:rPr>
          <w:rFonts w:asciiTheme="minorHAnsi" w:hAnsiTheme="minorHAnsi" w:cstheme="minorHAnsi"/>
        </w:rPr>
      </w:pPr>
      <w:r w:rsidRPr="00D433E5">
        <w:rPr>
          <w:rFonts w:asciiTheme="minorHAnsi" w:hAnsiTheme="minorHAnsi" w:cstheme="minorHAnsi"/>
        </w:rPr>
        <w:t>If for any reason you cannot migrate your FBO.gov account, need a different role or don’t have</w:t>
      </w:r>
      <w:r>
        <w:rPr>
          <w:rFonts w:asciiTheme="minorHAnsi" w:hAnsiTheme="minorHAnsi" w:cstheme="minorHAnsi"/>
        </w:rPr>
        <w:t xml:space="preserve"> </w:t>
      </w:r>
      <w:r w:rsidRPr="00D433E5">
        <w:rPr>
          <w:rFonts w:asciiTheme="minorHAnsi" w:hAnsiTheme="minorHAnsi" w:cstheme="minorHAnsi"/>
        </w:rPr>
        <w:t>a legacy account, then you will need to request your role to edit or publish Opportunity notices for your Agency.</w:t>
      </w:r>
    </w:p>
    <w:p w14:paraId="08C7AAF9"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The Role Request form can be accessed either during the account creation process or by going to your </w:t>
      </w:r>
      <w:proofErr w:type="gramStart"/>
      <w:r w:rsidRPr="00D433E5">
        <w:rPr>
          <w:rFonts w:asciiTheme="minorHAnsi" w:hAnsiTheme="minorHAnsi" w:cstheme="minorHAnsi"/>
          <w:b/>
          <w:bCs/>
        </w:rPr>
        <w:t xml:space="preserve">Profile </w:t>
      </w:r>
      <w:r w:rsidRPr="00D433E5">
        <w:rPr>
          <w:rFonts w:asciiTheme="minorHAnsi" w:hAnsiTheme="minorHAnsi" w:cstheme="minorHAnsi"/>
        </w:rPr>
        <w:t>,</w:t>
      </w:r>
      <w:proofErr w:type="gramEnd"/>
      <w:r w:rsidRPr="00D433E5">
        <w:rPr>
          <w:rFonts w:asciiTheme="minorHAnsi" w:hAnsiTheme="minorHAnsi" w:cstheme="minorHAnsi"/>
        </w:rPr>
        <w:t xml:space="preserve"> then selecting </w:t>
      </w:r>
      <w:r w:rsidRPr="00D433E5">
        <w:rPr>
          <w:rFonts w:asciiTheme="minorHAnsi" w:hAnsiTheme="minorHAnsi" w:cstheme="minorHAnsi"/>
          <w:b/>
          <w:bCs/>
        </w:rPr>
        <w:t xml:space="preserve">My Roles </w:t>
      </w:r>
      <w:r w:rsidRPr="00D433E5">
        <w:rPr>
          <w:rFonts w:asciiTheme="minorHAnsi" w:hAnsiTheme="minorHAnsi" w:cstheme="minorHAnsi"/>
        </w:rPr>
        <w:t>from the left menu.</w:t>
      </w:r>
    </w:p>
    <w:p w14:paraId="0B7EBA39"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Fill out the form. The Supervisor field is required for informational purposes only. This enables the Opportunities Administrator, who approves or rejects the role request for your Agency, to have a point of contact within your office if additional information is needed. Use the Agency picker to select your office, then select your role and domain.</w:t>
      </w:r>
    </w:p>
    <w:p w14:paraId="78244676" w14:textId="77777777" w:rsidR="00D433E5" w:rsidRPr="00D433E5" w:rsidRDefault="00D433E5" w:rsidP="00D433E5">
      <w:pPr>
        <w:rPr>
          <w:rFonts w:asciiTheme="minorHAnsi" w:hAnsiTheme="minorHAnsi" w:cstheme="minorHAnsi"/>
          <w:color w:val="000000"/>
        </w:rPr>
      </w:pPr>
      <w:r w:rsidRPr="00D433E5">
        <w:rPr>
          <w:rFonts w:asciiTheme="minorHAnsi" w:hAnsiTheme="minorHAnsi" w:cstheme="minorHAnsi"/>
        </w:rPr>
        <w:t xml:space="preserve">To align the 10 legacy systems into one </w:t>
      </w:r>
      <w:proofErr w:type="spellStart"/>
      <w:r w:rsidRPr="00D433E5">
        <w:rPr>
          <w:rFonts w:asciiTheme="minorHAnsi" w:hAnsiTheme="minorHAnsi" w:cstheme="minorHAnsi"/>
        </w:rPr>
        <w:t>beta.SAM</w:t>
      </w:r>
      <w:proofErr w:type="spellEnd"/>
      <w:r w:rsidRPr="00D433E5">
        <w:rPr>
          <w:rFonts w:asciiTheme="minorHAnsi" w:hAnsiTheme="minorHAnsi" w:cstheme="minorHAnsi"/>
        </w:rPr>
        <w:t xml:space="preserve"> Role Management, there have been updates to the role names. The base role functions remain true, so a Contracting officer (was Buyer) can post notices.</w:t>
      </w:r>
    </w:p>
    <w:p w14:paraId="22B0246A" w14:textId="77777777" w:rsidR="00D433E5" w:rsidRPr="00D433E5" w:rsidRDefault="00D433E5" w:rsidP="00D433E5">
      <w:pPr>
        <w:rPr>
          <w:rFonts w:asciiTheme="minorHAnsi" w:hAnsiTheme="minorHAnsi" w:cstheme="minorHAnsi"/>
          <w:color w:val="000000"/>
        </w:rPr>
      </w:pPr>
    </w:p>
    <w:p w14:paraId="5A71C09C" w14:textId="77777777" w:rsidR="00D433E5" w:rsidRPr="00D433E5" w:rsidRDefault="00D433E5" w:rsidP="00D433E5">
      <w:pPr>
        <w:rPr>
          <w:rFonts w:asciiTheme="minorHAnsi" w:hAnsiTheme="minorHAnsi" w:cstheme="minorHAnsi"/>
          <w:color w:val="000000"/>
        </w:rPr>
      </w:pPr>
      <w:r w:rsidRPr="00D433E5">
        <w:rPr>
          <w:rFonts w:asciiTheme="minorHAnsi" w:hAnsiTheme="minorHAnsi" w:cstheme="minorHAnsi"/>
          <w:noProof/>
          <w:color w:val="000000"/>
        </w:rPr>
        <w:lastRenderedPageBreak/>
        <w:drawing>
          <wp:inline distT="0" distB="0" distL="0" distR="0" wp14:anchorId="20FA9ACB" wp14:editId="49112C32">
            <wp:extent cx="5363323" cy="3162741"/>
            <wp:effectExtent l="0" t="0" r="8890" b="0"/>
            <wp:docPr id="5" name="Picture 5" descr="FBO transition to beta.SAM.gov - legacy roles to new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3323" cy="3162741"/>
                    </a:xfrm>
                    <a:prstGeom prst="rect">
                      <a:avLst/>
                    </a:prstGeom>
                  </pic:spPr>
                </pic:pic>
              </a:graphicData>
            </a:graphic>
          </wp:inline>
        </w:drawing>
      </w:r>
    </w:p>
    <w:p w14:paraId="35ED0AC2"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Submit the request, and it will be sent to the Agency Administrator for opportunities to be either approved or rejected.</w:t>
      </w:r>
    </w:p>
    <w:p w14:paraId="7F56510B" w14:textId="77777777" w:rsidR="00D433E5" w:rsidRPr="00D433E5" w:rsidRDefault="00D433E5" w:rsidP="00D433E5">
      <w:pPr>
        <w:rPr>
          <w:rFonts w:asciiTheme="minorHAnsi" w:hAnsiTheme="minorHAnsi" w:cstheme="minorHAnsi"/>
          <w:b/>
          <w:bCs/>
          <w:sz w:val="21"/>
          <w:szCs w:val="21"/>
        </w:rPr>
      </w:pPr>
      <w:r w:rsidRPr="00D433E5">
        <w:rPr>
          <w:rFonts w:asciiTheme="minorHAnsi" w:hAnsiTheme="minorHAnsi" w:cstheme="minorHAnsi"/>
          <w:b/>
          <w:bCs/>
          <w:sz w:val="21"/>
          <w:szCs w:val="21"/>
        </w:rPr>
        <w:t>To Migrate a role:</w:t>
      </w:r>
    </w:p>
    <w:p w14:paraId="2D701081"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Role Migration can be accessed either during the account creation process, from the “</w:t>
      </w:r>
      <w:r w:rsidRPr="00D433E5">
        <w:rPr>
          <w:rFonts w:asciiTheme="minorHAnsi" w:hAnsiTheme="minorHAnsi" w:cstheme="minorHAnsi"/>
          <w:b/>
          <w:bCs/>
        </w:rPr>
        <w:t>Go to my role</w:t>
      </w:r>
      <w:r w:rsidRPr="00D433E5">
        <w:rPr>
          <w:rFonts w:asciiTheme="minorHAnsi" w:hAnsiTheme="minorHAnsi" w:cstheme="minorHAnsi"/>
        </w:rPr>
        <w:t xml:space="preserve">” link in your workspace, or by going to your </w:t>
      </w:r>
      <w:r w:rsidRPr="00D433E5">
        <w:rPr>
          <w:rFonts w:asciiTheme="minorHAnsi" w:hAnsiTheme="minorHAnsi" w:cstheme="minorHAnsi"/>
          <w:b/>
          <w:bCs/>
        </w:rPr>
        <w:t>Profile</w:t>
      </w:r>
      <w:r w:rsidRPr="00D433E5">
        <w:rPr>
          <w:rFonts w:asciiTheme="minorHAnsi" w:hAnsiTheme="minorHAnsi" w:cstheme="minorHAnsi"/>
        </w:rPr>
        <w:t xml:space="preserve">, then selecting </w:t>
      </w:r>
      <w:r w:rsidRPr="00D433E5">
        <w:rPr>
          <w:rFonts w:asciiTheme="minorHAnsi" w:hAnsiTheme="minorHAnsi" w:cstheme="minorHAnsi"/>
          <w:b/>
          <w:bCs/>
        </w:rPr>
        <w:t xml:space="preserve">Migrate Roles </w:t>
      </w:r>
      <w:r w:rsidRPr="00D433E5">
        <w:rPr>
          <w:rFonts w:asciiTheme="minorHAnsi" w:hAnsiTheme="minorHAnsi" w:cstheme="minorHAnsi"/>
        </w:rPr>
        <w:t>from the left menu.</w:t>
      </w:r>
    </w:p>
    <w:p w14:paraId="112942BA"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To migrate a role, select FBO.gov from the dropdown menu, then enter your FBO.gov login and password, then select Migrate. You should see a notice pop up that the migration was successful, and when you go to My Roles, you should now see your role in the table.</w:t>
      </w:r>
    </w:p>
    <w:p w14:paraId="2D1B8741" w14:textId="77777777" w:rsidR="00D433E5" w:rsidRPr="00D433E5" w:rsidRDefault="00D433E5" w:rsidP="00D433E5">
      <w:pPr>
        <w:rPr>
          <w:rFonts w:asciiTheme="minorHAnsi" w:hAnsiTheme="minorHAnsi" w:cstheme="minorHAnsi"/>
        </w:rPr>
      </w:pPr>
      <w:r w:rsidRPr="00D433E5">
        <w:rPr>
          <w:rFonts w:asciiTheme="minorHAnsi" w:hAnsiTheme="minorHAnsi" w:cstheme="minorHAnsi"/>
        </w:rPr>
        <w:t xml:space="preserve">It is also important to note that some roles will have different names in beta.SAM.gov than they did in their legacy system, so users migrating their roles may notice a change in their role name. For example, users migrating roles will notice that the FBO roles of ‘Buyer’ and ‘Limited Buyer’ have been renamed ‘Contracting Officer’ and ‘Contracting Specialist’, respectively, within </w:t>
      </w:r>
      <w:hyperlink r:id="rId18" w:history="1">
        <w:r w:rsidRPr="00D433E5">
          <w:rPr>
            <w:rStyle w:val="Hyperlink"/>
            <w:rFonts w:asciiTheme="minorHAnsi" w:hAnsiTheme="minorHAnsi" w:cstheme="minorHAnsi"/>
          </w:rPr>
          <w:t>beta.SAM.gov</w:t>
        </w:r>
      </w:hyperlink>
      <w:r w:rsidRPr="00D433E5">
        <w:rPr>
          <w:rFonts w:asciiTheme="minorHAnsi" w:hAnsiTheme="minorHAnsi" w:cstheme="minorHAnsi"/>
        </w:rPr>
        <w:t xml:space="preserve">. Please refer to the graphic above to see what FBO roles will be in </w:t>
      </w:r>
      <w:hyperlink r:id="rId19" w:history="1">
        <w:r w:rsidRPr="00D433E5">
          <w:rPr>
            <w:rStyle w:val="Hyperlink"/>
            <w:rFonts w:asciiTheme="minorHAnsi" w:hAnsiTheme="minorHAnsi" w:cstheme="minorHAnsi"/>
          </w:rPr>
          <w:t>beta.SAM.gov</w:t>
        </w:r>
      </w:hyperlink>
      <w:r w:rsidRPr="00D433E5">
        <w:rPr>
          <w:rFonts w:asciiTheme="minorHAnsi" w:hAnsiTheme="minorHAnsi" w:cstheme="minorHAnsi"/>
        </w:rPr>
        <w:t>.</w:t>
      </w:r>
    </w:p>
    <w:p w14:paraId="42589592" w14:textId="3540A889" w:rsidR="00D433E5" w:rsidRPr="00D433E5" w:rsidRDefault="00D433E5" w:rsidP="00D433E5">
      <w:pPr>
        <w:rPr>
          <w:rFonts w:asciiTheme="minorHAnsi" w:hAnsiTheme="minorHAnsi" w:cstheme="minorHAnsi"/>
          <w:color w:val="000000"/>
        </w:rPr>
      </w:pPr>
      <w:r w:rsidRPr="00D433E5">
        <w:rPr>
          <w:rFonts w:asciiTheme="minorHAnsi" w:hAnsiTheme="minorHAnsi" w:cstheme="minorHAnsi"/>
          <w:color w:val="000000"/>
        </w:rPr>
        <w:t xml:space="preserve">Finally, after all the other steps are completed, you should check out your workspace. </w:t>
      </w:r>
      <w:r w:rsidRPr="00D433E5">
        <w:rPr>
          <w:rFonts w:asciiTheme="minorHAnsi" w:hAnsiTheme="minorHAnsi" w:cstheme="minorHAnsi"/>
        </w:rPr>
        <w:t xml:space="preserve">Before launch, your </w:t>
      </w:r>
      <w:hyperlink r:id="rId20" w:history="1">
        <w:r w:rsidRPr="00D433E5">
          <w:rPr>
            <w:rStyle w:val="Hyperlink"/>
            <w:rFonts w:asciiTheme="minorHAnsi" w:hAnsiTheme="minorHAnsi" w:cstheme="minorHAnsi"/>
          </w:rPr>
          <w:t>beta.SAM.gov</w:t>
        </w:r>
      </w:hyperlink>
      <w:r w:rsidRPr="00D433E5">
        <w:rPr>
          <w:rFonts w:asciiTheme="minorHAnsi" w:hAnsiTheme="minorHAnsi" w:cstheme="minorHAnsi"/>
        </w:rPr>
        <w:t xml:space="preserve"> workspace will have your profile, view of your Federal Hierarchy, and management of following, and saved searches. At launch, your beta.SAM.gov workspace will additionally include a widget allowing you to access Contract Opportunities. You are now prepared to begin working on your notices.</w:t>
      </w:r>
    </w:p>
    <w:p w14:paraId="5B6EEC83" w14:textId="77777777" w:rsidR="00D433E5" w:rsidRPr="00D433E5" w:rsidRDefault="00D433E5" w:rsidP="00D433E5">
      <w:pPr>
        <w:rPr>
          <w:rFonts w:asciiTheme="minorHAnsi" w:hAnsiTheme="minorHAnsi" w:cstheme="minorHAnsi"/>
        </w:rPr>
      </w:pPr>
    </w:p>
    <w:p w14:paraId="49743BB3" w14:textId="77777777" w:rsidR="00D433E5" w:rsidRPr="00D433E5" w:rsidRDefault="00D433E5" w:rsidP="00D433E5">
      <w:pPr>
        <w:rPr>
          <w:rFonts w:asciiTheme="minorHAnsi" w:hAnsiTheme="minorHAnsi" w:cstheme="minorHAnsi"/>
          <w:b/>
          <w:bCs/>
        </w:rPr>
      </w:pPr>
      <w:r w:rsidRPr="00D433E5">
        <w:rPr>
          <w:rFonts w:asciiTheme="minorHAnsi" w:hAnsiTheme="minorHAnsi" w:cstheme="minorHAnsi"/>
          <w:b/>
          <w:bCs/>
        </w:rPr>
        <w:t>Additional Information and Resources</w:t>
      </w:r>
    </w:p>
    <w:p w14:paraId="4912C589" w14:textId="0988568D" w:rsidR="00D433E5" w:rsidRPr="00D433E5" w:rsidRDefault="00D433E5" w:rsidP="00D433E5">
      <w:pPr>
        <w:rPr>
          <w:rFonts w:asciiTheme="minorHAnsi" w:hAnsiTheme="minorHAnsi" w:cstheme="minorHAnsi"/>
          <w:color w:val="000000"/>
        </w:rPr>
      </w:pPr>
      <w:r w:rsidRPr="00D433E5">
        <w:rPr>
          <w:rFonts w:asciiTheme="minorHAnsi" w:hAnsiTheme="minorHAnsi" w:cstheme="minorHAnsi"/>
          <w:color w:val="000000"/>
        </w:rPr>
        <w:t>If you are not the Federal Hierarchy Administrator, you will need to reach out to your corresponding</w:t>
      </w:r>
      <w:r>
        <w:rPr>
          <w:rFonts w:asciiTheme="minorHAnsi" w:hAnsiTheme="minorHAnsi" w:cstheme="minorHAnsi"/>
          <w:color w:val="000000"/>
        </w:rPr>
        <w:t xml:space="preserve"> </w:t>
      </w:r>
      <w:r w:rsidRPr="00D433E5">
        <w:rPr>
          <w:rFonts w:asciiTheme="minorHAnsi" w:hAnsiTheme="minorHAnsi" w:cstheme="minorHAnsi"/>
          <w:color w:val="000000"/>
        </w:rPr>
        <w:t>Federal Hierarchy Administrator. That information can be found by emailing</w:t>
      </w:r>
      <w:r>
        <w:rPr>
          <w:rFonts w:asciiTheme="minorHAnsi" w:hAnsiTheme="minorHAnsi" w:cstheme="minorHAnsi"/>
          <w:color w:val="000000"/>
        </w:rPr>
        <w:t xml:space="preserve"> </w:t>
      </w:r>
      <w:r w:rsidRPr="00D433E5">
        <w:rPr>
          <w:rFonts w:asciiTheme="minorHAnsi" w:hAnsiTheme="minorHAnsi" w:cstheme="minorHAnsi"/>
          <w:color w:val="1155CD"/>
        </w:rPr>
        <w:t>newsamtesting@gsa.gov</w:t>
      </w:r>
      <w:r w:rsidRPr="00D433E5">
        <w:rPr>
          <w:rFonts w:asciiTheme="minorHAnsi" w:hAnsiTheme="minorHAnsi" w:cstheme="minorHAnsi"/>
          <w:color w:val="000000"/>
        </w:rPr>
        <w:t>. Additionally, if you need to deal with questions regarding your</w:t>
      </w:r>
      <w:r>
        <w:rPr>
          <w:rFonts w:asciiTheme="minorHAnsi" w:hAnsiTheme="minorHAnsi" w:cstheme="minorHAnsi"/>
          <w:color w:val="000000"/>
        </w:rPr>
        <w:t xml:space="preserve"> </w:t>
      </w:r>
      <w:r w:rsidRPr="00D433E5">
        <w:rPr>
          <w:rFonts w:asciiTheme="minorHAnsi" w:hAnsiTheme="minorHAnsi" w:cstheme="minorHAnsi"/>
          <w:color w:val="000000"/>
        </w:rPr>
        <w:t xml:space="preserve">Administrator Role email </w:t>
      </w:r>
      <w:r w:rsidRPr="00D433E5">
        <w:rPr>
          <w:rFonts w:asciiTheme="minorHAnsi" w:hAnsiTheme="minorHAnsi" w:cstheme="minorHAnsi"/>
          <w:color w:val="1155CD"/>
        </w:rPr>
        <w:t>newsamtesting@gsa.gov</w:t>
      </w:r>
      <w:r w:rsidRPr="00D433E5">
        <w:rPr>
          <w:rFonts w:asciiTheme="minorHAnsi" w:hAnsiTheme="minorHAnsi" w:cstheme="minorHAnsi"/>
          <w:color w:val="122D50"/>
        </w:rPr>
        <w:t>.</w:t>
      </w:r>
    </w:p>
    <w:p w14:paraId="334639DD" w14:textId="77777777" w:rsidR="00A6699D" w:rsidRDefault="00A6699D" w:rsidP="00A6699D">
      <w:pPr>
        <w:pStyle w:val="Heading1"/>
        <w:jc w:val="left"/>
        <w:rPr>
          <w:rFonts w:eastAsia="Times New Roman"/>
        </w:rPr>
      </w:pPr>
      <w:r w:rsidRPr="003372F0">
        <w:rPr>
          <w:rFonts w:eastAsia="Times New Roman"/>
        </w:rPr>
        <w:t>FY2020 Per Diem Rates for Federal Travelers Released</w:t>
      </w:r>
    </w:p>
    <w:p w14:paraId="28269872" w14:textId="77777777" w:rsidR="00A6699D" w:rsidRPr="003372F0" w:rsidRDefault="00A6699D" w:rsidP="00A6699D">
      <w:pPr>
        <w:pStyle w:val="NoSpacing"/>
        <w:rPr>
          <w:sz w:val="24"/>
          <w:szCs w:val="24"/>
        </w:rPr>
      </w:pPr>
      <w:r w:rsidRPr="003372F0">
        <w:rPr>
          <w:sz w:val="24"/>
          <w:szCs w:val="24"/>
        </w:rPr>
        <w:t>On August 8, 2019, the U.S. General Services Administration released the fiscal year </w:t>
      </w:r>
      <w:hyperlink r:id="rId21" w:history="1">
        <w:r w:rsidRPr="003372F0">
          <w:rPr>
            <w:color w:val="006DB6"/>
            <w:sz w:val="24"/>
            <w:szCs w:val="24"/>
            <w:u w:val="single"/>
          </w:rPr>
          <w:t>(FY) 2020 travel per diem rates</w:t>
        </w:r>
      </w:hyperlink>
      <w:r w:rsidRPr="003372F0">
        <w:rPr>
          <w:sz w:val="24"/>
          <w:szCs w:val="24"/>
        </w:rPr>
        <w:t xml:space="preserve">, which will take effect on October 1, 2019. </w:t>
      </w:r>
    </w:p>
    <w:p w14:paraId="6BB319FD" w14:textId="77777777" w:rsidR="00A6699D" w:rsidRPr="003372F0" w:rsidRDefault="00A6699D" w:rsidP="00A6699D">
      <w:pPr>
        <w:pStyle w:val="NoSpacing"/>
        <w:rPr>
          <w:sz w:val="24"/>
          <w:szCs w:val="24"/>
        </w:rPr>
      </w:pPr>
    </w:p>
    <w:p w14:paraId="50F8F12D" w14:textId="77777777" w:rsidR="00A6699D" w:rsidRPr="003372F0" w:rsidRDefault="00A6699D" w:rsidP="00A6699D">
      <w:pPr>
        <w:pStyle w:val="NoSpacing"/>
        <w:rPr>
          <w:sz w:val="24"/>
          <w:szCs w:val="24"/>
        </w:rPr>
      </w:pPr>
      <w:r w:rsidRPr="003372F0">
        <w:rPr>
          <w:sz w:val="24"/>
          <w:szCs w:val="24"/>
        </w:rPr>
        <w:t>By law, GSA sets these rates for the continental United States annually. Per diem rates provide caps, or maximums, to the amounts that can be reimbursed to federal employees for lodging and meals while on official travel. Lodging per diem rates are based on local market costs of mid-priced hotels.</w:t>
      </w:r>
    </w:p>
    <w:p w14:paraId="79492555" w14:textId="77777777" w:rsidR="00A6699D" w:rsidRPr="003372F0" w:rsidRDefault="00A6699D" w:rsidP="00A6699D">
      <w:pPr>
        <w:pStyle w:val="NoSpacing"/>
        <w:rPr>
          <w:sz w:val="24"/>
          <w:szCs w:val="24"/>
        </w:rPr>
      </w:pPr>
    </w:p>
    <w:p w14:paraId="062A33DB" w14:textId="77777777" w:rsidR="00A6699D" w:rsidRPr="003372F0" w:rsidRDefault="00A6699D" w:rsidP="00A6699D">
      <w:pPr>
        <w:pStyle w:val="NoSpacing"/>
        <w:rPr>
          <w:sz w:val="24"/>
          <w:szCs w:val="24"/>
        </w:rPr>
      </w:pPr>
      <w:r w:rsidRPr="003372F0">
        <w:rPr>
          <w:sz w:val="24"/>
          <w:szCs w:val="24"/>
        </w:rPr>
        <w:t xml:space="preserve">GSA’s lodging per diem rate methodology for FY2020 was the same as previous years and includes taking five percent </w:t>
      </w:r>
      <w:proofErr w:type="gramStart"/>
      <w:r w:rsidRPr="003372F0">
        <w:rPr>
          <w:sz w:val="24"/>
          <w:szCs w:val="24"/>
        </w:rPr>
        <w:t>off of</w:t>
      </w:r>
      <w:proofErr w:type="gramEnd"/>
      <w:r w:rsidRPr="003372F0">
        <w:rPr>
          <w:sz w:val="24"/>
          <w:szCs w:val="24"/>
        </w:rPr>
        <w:t xml:space="preserve"> the final average daily rate in each location, which provides an additional savings measure. The standard lodging rate for FY2020 applies to approximately 2,600 counties and will increase from $94 to $96, which is the average adjustment. The standard Meal &amp; Incidental Expenses (M&amp;IE) rate remains $55.</w:t>
      </w:r>
    </w:p>
    <w:p w14:paraId="1C140358" w14:textId="77777777" w:rsidR="00A6699D" w:rsidRPr="003372F0" w:rsidRDefault="00A6699D" w:rsidP="00A6699D">
      <w:pPr>
        <w:pStyle w:val="NoSpacing"/>
        <w:rPr>
          <w:sz w:val="24"/>
          <w:szCs w:val="24"/>
        </w:rPr>
      </w:pPr>
    </w:p>
    <w:p w14:paraId="46D115F1" w14:textId="77777777" w:rsidR="00A6699D" w:rsidRPr="003372F0" w:rsidRDefault="00A6699D" w:rsidP="00A6699D">
      <w:pPr>
        <w:pStyle w:val="NoSpacing"/>
        <w:rPr>
          <w:sz w:val="24"/>
          <w:szCs w:val="24"/>
        </w:rPr>
      </w:pPr>
      <w:r w:rsidRPr="003372F0">
        <w:rPr>
          <w:sz w:val="24"/>
          <w:szCs w:val="24"/>
        </w:rPr>
        <w:t>In fiscal year (FY) 2020, there are 322 Non-Standard Areas (NSAs) that have per diem rates higher than the standard CONUS rate.</w:t>
      </w:r>
    </w:p>
    <w:p w14:paraId="5E43A99F" w14:textId="77777777" w:rsidR="00A6699D" w:rsidRPr="003372F0" w:rsidRDefault="00A6699D" w:rsidP="00A6699D">
      <w:pPr>
        <w:pStyle w:val="NoSpacing"/>
        <w:rPr>
          <w:sz w:val="24"/>
          <w:szCs w:val="24"/>
        </w:rPr>
      </w:pPr>
    </w:p>
    <w:p w14:paraId="64CF2841" w14:textId="0E3EDE21" w:rsidR="00A6699D" w:rsidRDefault="00A6699D" w:rsidP="00A6699D">
      <w:pPr>
        <w:pStyle w:val="NoSpacing"/>
        <w:rPr>
          <w:sz w:val="24"/>
          <w:szCs w:val="24"/>
        </w:rPr>
      </w:pPr>
      <w:r w:rsidRPr="003372F0">
        <w:rPr>
          <w:sz w:val="24"/>
          <w:szCs w:val="24"/>
        </w:rPr>
        <w:t>Changes to the NSAs for FY2020:</w:t>
      </w:r>
    </w:p>
    <w:p w14:paraId="1CDC495E" w14:textId="77777777" w:rsidR="00A6699D" w:rsidRPr="003372F0" w:rsidRDefault="00A6699D" w:rsidP="00A6699D">
      <w:pPr>
        <w:pStyle w:val="NoSpacing"/>
        <w:rPr>
          <w:sz w:val="24"/>
          <w:szCs w:val="24"/>
        </w:rPr>
      </w:pPr>
    </w:p>
    <w:p w14:paraId="7A482A3D" w14:textId="77777777" w:rsidR="00A6699D" w:rsidRPr="003372F0" w:rsidRDefault="00A6699D" w:rsidP="00A6699D">
      <w:pPr>
        <w:pStyle w:val="NoSpacing"/>
        <w:numPr>
          <w:ilvl w:val="0"/>
          <w:numId w:val="9"/>
        </w:numPr>
        <w:rPr>
          <w:sz w:val="24"/>
          <w:szCs w:val="24"/>
        </w:rPr>
      </w:pPr>
      <w:r w:rsidRPr="003372F0">
        <w:rPr>
          <w:sz w:val="24"/>
          <w:szCs w:val="24"/>
        </w:rPr>
        <w:t>Boise, ID (Ada County) is a new NSA location this year.</w:t>
      </w:r>
    </w:p>
    <w:p w14:paraId="3D896431" w14:textId="77777777" w:rsidR="00A6699D" w:rsidRPr="003372F0" w:rsidRDefault="00A6699D" w:rsidP="00A6699D">
      <w:pPr>
        <w:pStyle w:val="NoSpacing"/>
        <w:numPr>
          <w:ilvl w:val="0"/>
          <w:numId w:val="9"/>
        </w:numPr>
        <w:rPr>
          <w:sz w:val="24"/>
          <w:szCs w:val="24"/>
        </w:rPr>
      </w:pPr>
      <w:r w:rsidRPr="003372F0">
        <w:rPr>
          <w:sz w:val="24"/>
          <w:szCs w:val="24"/>
        </w:rPr>
        <w:t>Park County, MT has been added to the Big Sky, MT NSA area.</w:t>
      </w:r>
    </w:p>
    <w:p w14:paraId="5AD5735B" w14:textId="77777777" w:rsidR="00A6699D" w:rsidRPr="003372F0" w:rsidRDefault="00A6699D" w:rsidP="00A6699D">
      <w:pPr>
        <w:pStyle w:val="NoSpacing"/>
        <w:numPr>
          <w:ilvl w:val="0"/>
          <w:numId w:val="9"/>
        </w:numPr>
        <w:rPr>
          <w:sz w:val="24"/>
          <w:szCs w:val="24"/>
        </w:rPr>
      </w:pPr>
      <w:r w:rsidRPr="003372F0">
        <w:rPr>
          <w:sz w:val="24"/>
          <w:szCs w:val="24"/>
        </w:rPr>
        <w:t>Missoula and Flathead Counties in Montana were separated into their own NSAs instead of a combined NSA.</w:t>
      </w:r>
    </w:p>
    <w:p w14:paraId="49B755CE" w14:textId="77777777" w:rsidR="00A6699D" w:rsidRPr="003372F0" w:rsidRDefault="00A6699D" w:rsidP="00A6699D">
      <w:pPr>
        <w:pStyle w:val="NoSpacing"/>
        <w:rPr>
          <w:sz w:val="24"/>
          <w:szCs w:val="24"/>
        </w:rPr>
      </w:pPr>
    </w:p>
    <w:p w14:paraId="1963A152" w14:textId="77777777" w:rsidR="00A6699D" w:rsidRPr="003372F0" w:rsidRDefault="00A6699D" w:rsidP="00A6699D">
      <w:pPr>
        <w:pStyle w:val="NoSpacing"/>
        <w:rPr>
          <w:sz w:val="24"/>
          <w:szCs w:val="24"/>
        </w:rPr>
      </w:pPr>
      <w:r w:rsidRPr="003372F0">
        <w:rPr>
          <w:sz w:val="24"/>
          <w:szCs w:val="24"/>
        </w:rPr>
        <w:t>The following locations that were NSAs (or part of an established NSA) in FY 2019 will move into the standard CONUS rate category:</w:t>
      </w:r>
    </w:p>
    <w:p w14:paraId="1E308655" w14:textId="77777777" w:rsidR="00A6699D" w:rsidRPr="003372F0" w:rsidRDefault="00A6699D" w:rsidP="00A6699D">
      <w:pPr>
        <w:pStyle w:val="NoSpacing"/>
        <w:rPr>
          <w:sz w:val="24"/>
          <w:szCs w:val="24"/>
        </w:rPr>
      </w:pPr>
    </w:p>
    <w:p w14:paraId="469E1F8E" w14:textId="77777777" w:rsidR="00A6699D" w:rsidRPr="003372F0" w:rsidRDefault="00A6699D" w:rsidP="00A6699D">
      <w:pPr>
        <w:pStyle w:val="NoSpacing"/>
        <w:numPr>
          <w:ilvl w:val="0"/>
          <w:numId w:val="9"/>
        </w:numPr>
        <w:rPr>
          <w:sz w:val="24"/>
          <w:szCs w:val="24"/>
        </w:rPr>
      </w:pPr>
      <w:r w:rsidRPr="003372F0">
        <w:rPr>
          <w:sz w:val="24"/>
          <w:szCs w:val="24"/>
        </w:rPr>
        <w:t>Dover, DE (Kent County)</w:t>
      </w:r>
    </w:p>
    <w:p w14:paraId="3B2D58A9" w14:textId="77777777" w:rsidR="00A6699D" w:rsidRPr="003372F0" w:rsidRDefault="00A6699D" w:rsidP="00A6699D">
      <w:pPr>
        <w:pStyle w:val="NoSpacing"/>
        <w:numPr>
          <w:ilvl w:val="0"/>
          <w:numId w:val="9"/>
        </w:numPr>
        <w:rPr>
          <w:sz w:val="24"/>
          <w:szCs w:val="24"/>
        </w:rPr>
      </w:pPr>
      <w:r w:rsidRPr="003372F0">
        <w:rPr>
          <w:sz w:val="24"/>
          <w:szCs w:val="24"/>
        </w:rPr>
        <w:t>South Bend, IN (St. Joseph County)</w:t>
      </w:r>
    </w:p>
    <w:p w14:paraId="55AF2F93" w14:textId="77777777" w:rsidR="00A6699D" w:rsidRPr="003372F0" w:rsidRDefault="00A6699D" w:rsidP="00A6699D">
      <w:pPr>
        <w:pStyle w:val="NoSpacing"/>
        <w:numPr>
          <w:ilvl w:val="0"/>
          <w:numId w:val="9"/>
        </w:numPr>
        <w:rPr>
          <w:sz w:val="24"/>
          <w:szCs w:val="24"/>
        </w:rPr>
      </w:pPr>
      <w:r w:rsidRPr="003372F0">
        <w:rPr>
          <w:sz w:val="24"/>
          <w:szCs w:val="24"/>
        </w:rPr>
        <w:t>Benton Harbor/St. Joseph/Stevensville, MI (Berrien County)</w:t>
      </w:r>
    </w:p>
    <w:p w14:paraId="3CC0EE9F" w14:textId="77777777" w:rsidR="00A6699D" w:rsidRPr="003372F0" w:rsidRDefault="00A6699D" w:rsidP="00A6699D">
      <w:pPr>
        <w:pStyle w:val="NoSpacing"/>
        <w:numPr>
          <w:ilvl w:val="0"/>
          <w:numId w:val="9"/>
        </w:numPr>
        <w:rPr>
          <w:sz w:val="24"/>
          <w:szCs w:val="24"/>
        </w:rPr>
      </w:pPr>
      <w:r w:rsidRPr="003372F0">
        <w:rPr>
          <w:sz w:val="24"/>
          <w:szCs w:val="24"/>
        </w:rPr>
        <w:t>Lake County, MT</w:t>
      </w:r>
    </w:p>
    <w:p w14:paraId="508F29E5" w14:textId="77777777" w:rsidR="00A6699D" w:rsidRPr="003372F0" w:rsidRDefault="00A6699D" w:rsidP="00A6699D">
      <w:pPr>
        <w:pStyle w:val="NoSpacing"/>
        <w:numPr>
          <w:ilvl w:val="0"/>
          <w:numId w:val="9"/>
        </w:numPr>
        <w:rPr>
          <w:sz w:val="24"/>
          <w:szCs w:val="24"/>
        </w:rPr>
      </w:pPr>
      <w:r w:rsidRPr="003372F0">
        <w:rPr>
          <w:sz w:val="24"/>
          <w:szCs w:val="24"/>
        </w:rPr>
        <w:t>Medina County, OH</w:t>
      </w:r>
    </w:p>
    <w:p w14:paraId="1F4711C2" w14:textId="77777777" w:rsidR="00A6699D" w:rsidRPr="003372F0" w:rsidRDefault="00A6699D" w:rsidP="00A6699D">
      <w:pPr>
        <w:pStyle w:val="NoSpacing"/>
        <w:numPr>
          <w:ilvl w:val="0"/>
          <w:numId w:val="9"/>
        </w:numPr>
        <w:rPr>
          <w:sz w:val="24"/>
          <w:szCs w:val="24"/>
        </w:rPr>
      </w:pPr>
      <w:r w:rsidRPr="003372F0">
        <w:rPr>
          <w:sz w:val="24"/>
          <w:szCs w:val="24"/>
        </w:rPr>
        <w:lastRenderedPageBreak/>
        <w:t>Aiken County, SC</w:t>
      </w:r>
    </w:p>
    <w:p w14:paraId="0480F19C" w14:textId="77777777" w:rsidR="00A6699D" w:rsidRPr="003372F0" w:rsidRDefault="00A6699D" w:rsidP="00A6699D">
      <w:pPr>
        <w:pStyle w:val="NoSpacing"/>
        <w:numPr>
          <w:ilvl w:val="0"/>
          <w:numId w:val="9"/>
        </w:numPr>
        <w:rPr>
          <w:sz w:val="24"/>
          <w:szCs w:val="24"/>
        </w:rPr>
      </w:pPr>
      <w:r w:rsidRPr="003372F0">
        <w:rPr>
          <w:sz w:val="24"/>
          <w:szCs w:val="24"/>
        </w:rPr>
        <w:t>Sheboygan County, WI</w:t>
      </w:r>
    </w:p>
    <w:p w14:paraId="61C18EA3" w14:textId="77777777" w:rsidR="00A6699D" w:rsidRPr="003372F0" w:rsidRDefault="00A6699D" w:rsidP="00A6699D">
      <w:pPr>
        <w:pStyle w:val="NoSpacing"/>
        <w:rPr>
          <w:sz w:val="24"/>
          <w:szCs w:val="24"/>
        </w:rPr>
      </w:pPr>
    </w:p>
    <w:p w14:paraId="598A006B" w14:textId="470A94E8" w:rsidR="00A6699D" w:rsidRDefault="00A6699D" w:rsidP="00A6699D">
      <w:pPr>
        <w:pStyle w:val="NoSpacing"/>
        <w:rPr>
          <w:sz w:val="24"/>
          <w:szCs w:val="24"/>
        </w:rPr>
      </w:pPr>
      <w:r w:rsidRPr="003372F0">
        <w:rPr>
          <w:sz w:val="24"/>
          <w:szCs w:val="24"/>
        </w:rPr>
        <w:t>As in previous years, GSA still uses:</w:t>
      </w:r>
    </w:p>
    <w:p w14:paraId="7BFF5A79" w14:textId="77777777" w:rsidR="00A6699D" w:rsidRPr="003372F0" w:rsidRDefault="00A6699D" w:rsidP="00A6699D">
      <w:pPr>
        <w:pStyle w:val="NoSpacing"/>
        <w:rPr>
          <w:sz w:val="24"/>
          <w:szCs w:val="24"/>
        </w:rPr>
      </w:pPr>
    </w:p>
    <w:p w14:paraId="1E3EF6B8" w14:textId="77777777" w:rsidR="00A6699D" w:rsidRPr="003372F0" w:rsidRDefault="00A6699D" w:rsidP="00A6699D">
      <w:pPr>
        <w:pStyle w:val="NoSpacing"/>
        <w:numPr>
          <w:ilvl w:val="0"/>
          <w:numId w:val="9"/>
        </w:numPr>
        <w:rPr>
          <w:sz w:val="24"/>
          <w:szCs w:val="24"/>
        </w:rPr>
      </w:pPr>
      <w:r w:rsidRPr="003372F0">
        <w:rPr>
          <w:sz w:val="24"/>
          <w:szCs w:val="24"/>
        </w:rPr>
        <w:t>Only "fire safe" properties; GSA is required by law to use only </w:t>
      </w:r>
      <w:hyperlink r:id="rId22" w:history="1">
        <w:r w:rsidRPr="003372F0">
          <w:rPr>
            <w:sz w:val="24"/>
            <w:szCs w:val="24"/>
          </w:rPr>
          <w:t>properties</w:t>
        </w:r>
      </w:hyperlink>
      <w:r w:rsidRPr="003372F0">
        <w:rPr>
          <w:sz w:val="24"/>
          <w:szCs w:val="24"/>
        </w:rPr>
        <w:t> that are certified as being in compliance with the Hotel &amp; Motel Fire Safety Act of 1990.</w:t>
      </w:r>
    </w:p>
    <w:p w14:paraId="708BAF42" w14:textId="77777777" w:rsidR="00A6699D" w:rsidRPr="003372F0" w:rsidRDefault="00A6699D" w:rsidP="00A6699D">
      <w:pPr>
        <w:pStyle w:val="NoSpacing"/>
        <w:numPr>
          <w:ilvl w:val="0"/>
          <w:numId w:val="9"/>
        </w:numPr>
        <w:rPr>
          <w:sz w:val="24"/>
          <w:szCs w:val="24"/>
        </w:rPr>
      </w:pPr>
      <w:r w:rsidRPr="003372F0">
        <w:rPr>
          <w:sz w:val="24"/>
          <w:szCs w:val="24"/>
        </w:rPr>
        <w:t>Properties that fall within the mid-price range.</w:t>
      </w:r>
    </w:p>
    <w:p w14:paraId="39CF5C94" w14:textId="77777777" w:rsidR="00A6699D" w:rsidRPr="003372F0" w:rsidRDefault="00A6699D" w:rsidP="00A6699D">
      <w:pPr>
        <w:pStyle w:val="NoSpacing"/>
        <w:numPr>
          <w:ilvl w:val="0"/>
          <w:numId w:val="9"/>
        </w:numPr>
        <w:rPr>
          <w:sz w:val="24"/>
          <w:szCs w:val="24"/>
        </w:rPr>
      </w:pPr>
      <w:r w:rsidRPr="003372F0">
        <w:rPr>
          <w:sz w:val="24"/>
          <w:szCs w:val="24"/>
        </w:rPr>
        <w:t>Data from the prior 12-month period. For FY 2020, this is from April 2018 through March 2019;</w:t>
      </w:r>
    </w:p>
    <w:p w14:paraId="631F7F4B" w14:textId="77777777" w:rsidR="00A6699D" w:rsidRPr="003372F0" w:rsidRDefault="00A6699D" w:rsidP="00A6699D">
      <w:pPr>
        <w:pStyle w:val="NoSpacing"/>
        <w:numPr>
          <w:ilvl w:val="0"/>
          <w:numId w:val="9"/>
        </w:numPr>
        <w:rPr>
          <w:sz w:val="24"/>
          <w:szCs w:val="24"/>
        </w:rPr>
      </w:pPr>
      <w:r w:rsidRPr="003372F0">
        <w:rPr>
          <w:sz w:val="24"/>
          <w:szCs w:val="24"/>
        </w:rPr>
        <w:t>Business travel week data (Monday through Thursday).</w:t>
      </w:r>
    </w:p>
    <w:p w14:paraId="4A633ECE" w14:textId="77777777" w:rsidR="00A6699D" w:rsidRPr="003372F0" w:rsidRDefault="00A6699D" w:rsidP="00A6699D">
      <w:pPr>
        <w:pStyle w:val="NoSpacing"/>
        <w:rPr>
          <w:sz w:val="24"/>
          <w:szCs w:val="24"/>
        </w:rPr>
      </w:pPr>
    </w:p>
    <w:p w14:paraId="5C6D4784" w14:textId="77777777" w:rsidR="00A6699D" w:rsidRPr="003372F0" w:rsidRDefault="00A6699D" w:rsidP="00A6699D">
      <w:pPr>
        <w:pStyle w:val="NoSpacing"/>
        <w:rPr>
          <w:sz w:val="24"/>
          <w:szCs w:val="24"/>
        </w:rPr>
      </w:pPr>
      <w:r w:rsidRPr="003372F0">
        <w:rPr>
          <w:sz w:val="24"/>
          <w:szCs w:val="24"/>
        </w:rPr>
        <w:t>Agencies are reminded that the Federal Travel Regulation allows for actual expense reimbursement when per diem rates are insufficient to meet necessary expenses. Please see</w:t>
      </w:r>
      <w:hyperlink r:id="rId23" w:anchor="wp1089939" w:history="1">
        <w:r w:rsidRPr="003372F0">
          <w:rPr>
            <w:sz w:val="24"/>
            <w:szCs w:val="24"/>
          </w:rPr>
          <w:t> FTR §301-11.300 through 306</w:t>
        </w:r>
      </w:hyperlink>
      <w:r w:rsidRPr="003372F0">
        <w:rPr>
          <w:sz w:val="24"/>
          <w:szCs w:val="24"/>
        </w:rPr>
        <w:t> for more information.</w:t>
      </w:r>
    </w:p>
    <w:p w14:paraId="675D7542" w14:textId="77777777" w:rsidR="00A6699D" w:rsidRPr="003372F0" w:rsidRDefault="00A6699D" w:rsidP="00A6699D">
      <w:pPr>
        <w:pStyle w:val="NoSpacing"/>
        <w:rPr>
          <w:sz w:val="24"/>
          <w:szCs w:val="24"/>
        </w:rPr>
      </w:pPr>
      <w:r w:rsidRPr="003372F0">
        <w:rPr>
          <w:sz w:val="24"/>
          <w:szCs w:val="24"/>
        </w:rPr>
        <w:t>For more information on FY 2020 travel per diem rates, please visit </w:t>
      </w:r>
      <w:hyperlink r:id="rId24" w:history="1">
        <w:r w:rsidRPr="003372F0">
          <w:rPr>
            <w:rStyle w:val="Hyperlink"/>
            <w:sz w:val="24"/>
            <w:szCs w:val="24"/>
          </w:rPr>
          <w:t>www.gsa.gov/perdiem</w:t>
        </w:r>
      </w:hyperlink>
      <w:r w:rsidRPr="003372F0">
        <w:rPr>
          <w:sz w:val="24"/>
          <w:szCs w:val="24"/>
        </w:rPr>
        <w:t>.</w:t>
      </w:r>
    </w:p>
    <w:p w14:paraId="26E4A748" w14:textId="77777777" w:rsidR="00480F16" w:rsidRDefault="00480F16" w:rsidP="00480F16">
      <w:pPr>
        <w:pStyle w:val="Heading1"/>
        <w:jc w:val="left"/>
      </w:pPr>
    </w:p>
    <w:p w14:paraId="2CF23CB7" w14:textId="77777777" w:rsidR="005F2DE6" w:rsidRPr="00F51D62" w:rsidRDefault="005F2DE6" w:rsidP="00480F16">
      <w:pPr>
        <w:pStyle w:val="Heading1"/>
        <w:jc w:val="left"/>
      </w:pPr>
      <w:r w:rsidRPr="00F51D62">
        <w:t>Contractor Performance Assessment Reporting System (CPARS)</w:t>
      </w:r>
    </w:p>
    <w:p w14:paraId="640FFDDD" w14:textId="77777777"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 xml:space="preserve">The information presented is not all inclusive, for detailed information regarding CPARS or the CPARS workflow process check out the </w:t>
      </w:r>
      <w:hyperlink r:id="rId25" w:history="1">
        <w:r w:rsidRPr="0043425A">
          <w:rPr>
            <w:rStyle w:val="Hyperlink"/>
            <w:rFonts w:asciiTheme="minorHAnsi" w:hAnsiTheme="minorHAnsi" w:cstheme="minorHAnsi"/>
            <w:szCs w:val="24"/>
          </w:rPr>
          <w:t>Guidance for Contractor Performance Assessment Reporting System</w:t>
        </w:r>
      </w:hyperlink>
      <w:r w:rsidRPr="0043425A">
        <w:rPr>
          <w:rFonts w:asciiTheme="minorHAnsi" w:hAnsiTheme="minorHAnsi" w:cstheme="minorHAnsi"/>
          <w:szCs w:val="24"/>
        </w:rPr>
        <w:t xml:space="preserve"> (CPARS) and the </w:t>
      </w:r>
      <w:hyperlink r:id="rId26" w:history="1">
        <w:r w:rsidRPr="0043425A">
          <w:rPr>
            <w:rStyle w:val="Hyperlink"/>
            <w:rFonts w:asciiTheme="minorHAnsi" w:hAnsiTheme="minorHAnsi" w:cstheme="minorHAnsi"/>
            <w:szCs w:val="24"/>
          </w:rPr>
          <w:t>CPARS User Manual</w:t>
        </w:r>
      </w:hyperlink>
      <w:r w:rsidRPr="0043425A">
        <w:rPr>
          <w:rFonts w:asciiTheme="minorHAnsi" w:hAnsiTheme="minorHAnsi" w:cstheme="minorHAnsi"/>
          <w:szCs w:val="24"/>
        </w:rPr>
        <w:t>.</w:t>
      </w:r>
    </w:p>
    <w:p w14:paraId="548AE8C4" w14:textId="77777777" w:rsidR="005F2DE6" w:rsidRPr="00CF32EE" w:rsidRDefault="005F2DE6" w:rsidP="005F2DE6">
      <w:pPr>
        <w:pStyle w:val="Heading2"/>
        <w:rPr>
          <w:rFonts w:asciiTheme="minorHAnsi" w:hAnsiTheme="minorHAnsi" w:cstheme="minorHAnsi"/>
          <w:b/>
          <w:bCs/>
          <w:color w:val="auto"/>
          <w:sz w:val="24"/>
          <w:szCs w:val="24"/>
        </w:rPr>
      </w:pPr>
      <w:r w:rsidRPr="00CF32EE">
        <w:rPr>
          <w:rFonts w:asciiTheme="minorHAnsi" w:hAnsiTheme="minorHAnsi" w:cstheme="minorHAnsi"/>
          <w:b/>
          <w:bCs/>
          <w:color w:val="auto"/>
          <w:sz w:val="24"/>
          <w:szCs w:val="24"/>
        </w:rPr>
        <w:t>What is CPARS?</w:t>
      </w:r>
    </w:p>
    <w:p w14:paraId="70108D1A" w14:textId="77777777" w:rsidR="005F2DE6" w:rsidRPr="0043425A" w:rsidRDefault="005F2DE6" w:rsidP="005F2DE6">
      <w:pPr>
        <w:rPr>
          <w:rStyle w:val="Strong"/>
          <w:rFonts w:asciiTheme="minorHAnsi" w:hAnsiTheme="minorHAnsi" w:cstheme="minorHAnsi"/>
          <w:szCs w:val="24"/>
        </w:rPr>
      </w:pPr>
      <w:r w:rsidRPr="0043425A">
        <w:rPr>
          <w:rFonts w:asciiTheme="minorHAnsi" w:hAnsiTheme="minorHAnsi" w:cstheme="minorHAnsi"/>
          <w:bCs/>
          <w:szCs w:val="24"/>
        </w:rPr>
        <w:t xml:space="preserve">In accordance with </w:t>
      </w:r>
      <w:hyperlink r:id="rId27" w:history="1">
        <w:r w:rsidRPr="0043425A">
          <w:rPr>
            <w:rStyle w:val="Hyperlink"/>
            <w:rFonts w:asciiTheme="minorHAnsi" w:hAnsiTheme="minorHAnsi" w:cstheme="minorHAnsi"/>
            <w:bCs/>
            <w:szCs w:val="24"/>
          </w:rPr>
          <w:t>FAR 42.1502</w:t>
        </w:r>
      </w:hyperlink>
      <w:r w:rsidRPr="0043425A">
        <w:rPr>
          <w:rFonts w:asciiTheme="minorHAnsi" w:hAnsiTheme="minorHAnsi" w:cstheme="minorHAnsi"/>
          <w:bCs/>
          <w:szCs w:val="24"/>
        </w:rPr>
        <w:t>, past performance evaluations shall be prepared and entered into CPARS at least annually and at the time the work under a contract or order is completed.</w:t>
      </w:r>
    </w:p>
    <w:p w14:paraId="46021FD9" w14:textId="77777777" w:rsidR="005F2DE6" w:rsidRPr="0043425A" w:rsidRDefault="005F2DE6" w:rsidP="005F2DE6">
      <w:pPr>
        <w:rPr>
          <w:rFonts w:asciiTheme="minorHAnsi" w:hAnsiTheme="minorHAnsi" w:cstheme="minorHAnsi"/>
          <w:szCs w:val="24"/>
        </w:rPr>
      </w:pPr>
      <w:r w:rsidRPr="0043425A">
        <w:rPr>
          <w:rStyle w:val="Strong"/>
          <w:rFonts w:asciiTheme="minorHAnsi" w:hAnsiTheme="minorHAnsi" w:cstheme="minorHAnsi"/>
          <w:szCs w:val="24"/>
        </w:rPr>
        <w:t>Why it’s Important:</w:t>
      </w:r>
      <w:r w:rsidRPr="0043425A">
        <w:rPr>
          <w:rFonts w:asciiTheme="minorHAnsi" w:hAnsiTheme="minorHAnsi" w:cstheme="minorHAnsi"/>
          <w:szCs w:val="24"/>
        </w:rPr>
        <w:t xml:space="preserve">  Improving the collection and use of information about contractor performance and integrity strengthens the NIH’s ability to efficiently purchase goods and services.</w:t>
      </w:r>
    </w:p>
    <w:p w14:paraId="5A8C95FB" w14:textId="77777777"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Assessments of a contractor’s performance on a contract and general information about their adherence to certain Federal rules and regulations are critical factors in the source selection process.</w:t>
      </w:r>
    </w:p>
    <w:p w14:paraId="5E62A954" w14:textId="77777777" w:rsidR="005F2DE6" w:rsidRPr="00CF32EE" w:rsidRDefault="005F2DE6" w:rsidP="005F2DE6">
      <w:pPr>
        <w:pStyle w:val="Heading2"/>
        <w:rPr>
          <w:rFonts w:asciiTheme="minorHAnsi" w:hAnsiTheme="minorHAnsi" w:cstheme="minorHAnsi"/>
          <w:b/>
          <w:bCs/>
          <w:color w:val="auto"/>
          <w:sz w:val="24"/>
          <w:szCs w:val="24"/>
        </w:rPr>
      </w:pPr>
      <w:r w:rsidRPr="00CF32EE">
        <w:rPr>
          <w:rFonts w:asciiTheme="minorHAnsi" w:hAnsiTheme="minorHAnsi" w:cstheme="minorHAnsi"/>
          <w:b/>
          <w:bCs/>
          <w:color w:val="auto"/>
          <w:sz w:val="24"/>
          <w:szCs w:val="24"/>
        </w:rPr>
        <w:t>CPARS User Roles</w:t>
      </w:r>
    </w:p>
    <w:p w14:paraId="0A06F1FB" w14:textId="77777777" w:rsidR="005F2DE6" w:rsidRPr="0043425A" w:rsidRDefault="005F2DE6" w:rsidP="005F2DE6">
      <w:pPr>
        <w:rPr>
          <w:rFonts w:asciiTheme="minorHAnsi" w:hAnsiTheme="minorHAnsi" w:cstheme="minorHAnsi"/>
          <w:szCs w:val="24"/>
        </w:rPr>
      </w:pPr>
      <w:bookmarkStart w:id="1" w:name="_Hlk12260940"/>
      <w:proofErr w:type="gramStart"/>
      <w:r w:rsidRPr="0043425A">
        <w:rPr>
          <w:rFonts w:asciiTheme="minorHAnsi" w:hAnsiTheme="minorHAnsi" w:cstheme="minorHAnsi"/>
          <w:szCs w:val="24"/>
        </w:rPr>
        <w:t xml:space="preserve">With the </w:t>
      </w:r>
      <w:r w:rsidRPr="0043425A">
        <w:rPr>
          <w:rStyle w:val="Strong"/>
          <w:rFonts w:asciiTheme="minorHAnsi" w:hAnsiTheme="minorHAnsi" w:cstheme="minorHAnsi"/>
          <w:szCs w:val="24"/>
        </w:rPr>
        <w:t>exception</w:t>
      </w:r>
      <w:r w:rsidRPr="0043425A">
        <w:rPr>
          <w:rFonts w:asciiTheme="minorHAnsi" w:hAnsiTheme="minorHAnsi" w:cstheme="minorHAnsi"/>
          <w:szCs w:val="24"/>
        </w:rPr>
        <w:t xml:space="preserve"> of</w:t>
      </w:r>
      <w:proofErr w:type="gramEnd"/>
      <w:r w:rsidRPr="0043425A">
        <w:rPr>
          <w:rFonts w:asciiTheme="minorHAnsi" w:hAnsiTheme="minorHAnsi" w:cstheme="minorHAnsi"/>
          <w:szCs w:val="24"/>
        </w:rPr>
        <w:t xml:space="preserve"> the </w:t>
      </w:r>
      <w:r w:rsidRPr="0043425A">
        <w:rPr>
          <w:rStyle w:val="Strong"/>
          <w:rFonts w:asciiTheme="minorHAnsi" w:hAnsiTheme="minorHAnsi" w:cstheme="minorHAnsi"/>
          <w:szCs w:val="24"/>
        </w:rPr>
        <w:t>Contractor Rep</w:t>
      </w:r>
      <w:r w:rsidRPr="0043425A">
        <w:rPr>
          <w:rFonts w:asciiTheme="minorHAnsi" w:hAnsiTheme="minorHAnsi" w:cstheme="minorHAnsi"/>
          <w:szCs w:val="24"/>
        </w:rPr>
        <w:t xml:space="preserve"> role, </w:t>
      </w:r>
      <w:r w:rsidRPr="0043425A">
        <w:rPr>
          <w:rStyle w:val="Strong"/>
          <w:rFonts w:asciiTheme="minorHAnsi" w:hAnsiTheme="minorHAnsi" w:cstheme="minorHAnsi"/>
          <w:szCs w:val="24"/>
        </w:rPr>
        <w:t>all CPARS User Roles must be held by a federal employee</w:t>
      </w:r>
      <w:r w:rsidRPr="0043425A">
        <w:rPr>
          <w:rFonts w:asciiTheme="minorHAnsi" w:hAnsiTheme="minorHAnsi" w:cstheme="minorHAnsi"/>
          <w:szCs w:val="24"/>
        </w:rPr>
        <w:t>.  To support the CPARS workflow, each user is assigned a “</w:t>
      </w:r>
      <w:r w:rsidRPr="0043425A">
        <w:rPr>
          <w:rStyle w:val="IntenseEmphasis"/>
          <w:rFonts w:asciiTheme="minorHAnsi" w:hAnsiTheme="minorHAnsi" w:cstheme="minorHAnsi"/>
          <w:szCs w:val="24"/>
        </w:rPr>
        <w:t>unique</w:t>
      </w:r>
      <w:r w:rsidRPr="0043425A">
        <w:rPr>
          <w:rFonts w:asciiTheme="minorHAnsi" w:hAnsiTheme="minorHAnsi" w:cstheme="minorHAnsi"/>
          <w:szCs w:val="24"/>
        </w:rPr>
        <w:t xml:space="preserve">” level of access </w:t>
      </w:r>
      <w:r w:rsidRPr="0078793D">
        <w:rPr>
          <w:rFonts w:asciiTheme="minorHAnsi" w:hAnsiTheme="minorHAnsi" w:cstheme="minorHAnsi"/>
          <w:szCs w:val="24"/>
        </w:rPr>
        <w:t xml:space="preserve">by the </w:t>
      </w:r>
      <w:r w:rsidRPr="0078793D">
        <w:rPr>
          <w:rStyle w:val="Strong"/>
          <w:rFonts w:asciiTheme="minorHAnsi" w:hAnsiTheme="minorHAnsi" w:cstheme="minorHAnsi"/>
          <w:szCs w:val="24"/>
        </w:rPr>
        <w:t>Focal Point</w:t>
      </w:r>
      <w:r w:rsidRPr="0043425A">
        <w:rPr>
          <w:rFonts w:asciiTheme="minorHAnsi" w:hAnsiTheme="minorHAnsi" w:cstheme="minorHAnsi"/>
          <w:szCs w:val="24"/>
        </w:rPr>
        <w:t>; which is based on the individual’s assigned responsibility in the process.</w:t>
      </w:r>
    </w:p>
    <w:p w14:paraId="477DE454" w14:textId="77777777" w:rsidR="005F2DE6" w:rsidRPr="0043425A" w:rsidRDefault="005F2DE6" w:rsidP="005F2DE6">
      <w:pPr>
        <w:pStyle w:val="ListParagraph"/>
        <w:numPr>
          <w:ilvl w:val="0"/>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lastRenderedPageBreak/>
        <w:t>Focal Point (FP)</w:t>
      </w:r>
      <w:r w:rsidRPr="0043425A">
        <w:rPr>
          <w:rFonts w:asciiTheme="minorHAnsi" w:eastAsia="Times New Roman" w:hAnsiTheme="minorHAnsi" w:cstheme="minorHAnsi"/>
          <w:szCs w:val="24"/>
        </w:rPr>
        <w:t xml:space="preserve"> – must be a federal employee.</w:t>
      </w:r>
    </w:p>
    <w:p w14:paraId="43AD428E" w14:textId="77777777" w:rsidR="005F2DE6" w:rsidRPr="0043425A" w:rsidRDefault="005F2DE6" w:rsidP="005F2DE6">
      <w:pPr>
        <w:pStyle w:val="ListParagraph"/>
        <w:numPr>
          <w:ilvl w:val="1"/>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 xml:space="preserve">System Duties / Responsibilities </w:t>
      </w:r>
      <w:r w:rsidRPr="0043425A">
        <w:rPr>
          <w:rFonts w:asciiTheme="minorHAnsi" w:eastAsia="Times New Roman" w:hAnsiTheme="minorHAnsi" w:cstheme="minorHAnsi"/>
          <w:szCs w:val="24"/>
        </w:rPr>
        <w:t>– Assign User Roles, Register Contract Actions, Communicate with AOR/AO evaluation status; Track, monitor CPARS Workflow process; and attend all relevant training.</w:t>
      </w:r>
    </w:p>
    <w:p w14:paraId="68DF2BD5" w14:textId="77777777" w:rsidR="005F2DE6" w:rsidRPr="0043425A" w:rsidRDefault="005F2DE6" w:rsidP="005F2DE6">
      <w:pPr>
        <w:pStyle w:val="ListParagraph"/>
        <w:numPr>
          <w:ilvl w:val="0"/>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Alternate Focal Point (AFP)</w:t>
      </w:r>
      <w:r w:rsidRPr="0043425A">
        <w:rPr>
          <w:rFonts w:asciiTheme="minorHAnsi" w:eastAsia="Times New Roman" w:hAnsiTheme="minorHAnsi" w:cstheme="minorHAnsi"/>
          <w:szCs w:val="24"/>
        </w:rPr>
        <w:t xml:space="preserve"> – must be a federal employee.</w:t>
      </w:r>
    </w:p>
    <w:p w14:paraId="54A179F2" w14:textId="77777777" w:rsidR="005F2DE6" w:rsidRPr="0043425A" w:rsidRDefault="005F2DE6" w:rsidP="005F2DE6">
      <w:pPr>
        <w:pStyle w:val="ListParagraph"/>
        <w:numPr>
          <w:ilvl w:val="1"/>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 xml:space="preserve">System Duties / Responsibilities </w:t>
      </w:r>
      <w:r w:rsidRPr="0043425A">
        <w:rPr>
          <w:rFonts w:asciiTheme="minorHAnsi" w:eastAsia="Times New Roman" w:hAnsiTheme="minorHAnsi" w:cstheme="minorHAnsi"/>
          <w:szCs w:val="24"/>
        </w:rPr>
        <w:t>– Same as Focal Point.</w:t>
      </w:r>
    </w:p>
    <w:p w14:paraId="51D02483" w14:textId="77777777" w:rsidR="005F2DE6" w:rsidRPr="0043425A" w:rsidRDefault="005F2DE6" w:rsidP="005F2DE6">
      <w:pPr>
        <w:pStyle w:val="ListParagraph"/>
        <w:numPr>
          <w:ilvl w:val="0"/>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Assessing Official Rep (AOR)*</w:t>
      </w:r>
      <w:r w:rsidRPr="0043425A">
        <w:rPr>
          <w:rFonts w:asciiTheme="minorHAnsi" w:eastAsia="Times New Roman" w:hAnsiTheme="minorHAnsi" w:cstheme="minorHAnsi"/>
          <w:szCs w:val="24"/>
        </w:rPr>
        <w:t xml:space="preserve"> - normally filled by Contracting Officer Representative (COR) or Program Manager (PM) </w:t>
      </w:r>
    </w:p>
    <w:p w14:paraId="39158923" w14:textId="77777777" w:rsidR="005F2DE6" w:rsidRPr="0043425A" w:rsidRDefault="005F2DE6" w:rsidP="005F2DE6">
      <w:pPr>
        <w:pStyle w:val="ListParagraph"/>
        <w:numPr>
          <w:ilvl w:val="1"/>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 xml:space="preserve">System Duties / Responsibilities </w:t>
      </w:r>
      <w:r w:rsidRPr="0043425A">
        <w:rPr>
          <w:rFonts w:asciiTheme="minorHAnsi" w:eastAsia="Times New Roman" w:hAnsiTheme="minorHAnsi" w:cstheme="minorHAnsi"/>
          <w:szCs w:val="24"/>
        </w:rPr>
        <w:t>– Enters Ratings &amp; Narratives, Validates and Send Evaluation to Assessing Official, attend all relevant training.</w:t>
      </w:r>
    </w:p>
    <w:p w14:paraId="0A3ACB80" w14:textId="77777777" w:rsidR="005F2DE6" w:rsidRPr="0043425A" w:rsidRDefault="005F2DE6" w:rsidP="005F2DE6">
      <w:pPr>
        <w:pStyle w:val="ListParagraph"/>
        <w:numPr>
          <w:ilvl w:val="0"/>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Assessing Official (AO)</w:t>
      </w:r>
      <w:r w:rsidRPr="0043425A">
        <w:rPr>
          <w:rFonts w:asciiTheme="minorHAnsi" w:eastAsia="Times New Roman" w:hAnsiTheme="minorHAnsi" w:cstheme="minorHAnsi"/>
          <w:szCs w:val="24"/>
        </w:rPr>
        <w:t xml:space="preserve"> – normally filled by a Contract Specialist (CS) or Contracting Officer (CO)</w:t>
      </w:r>
    </w:p>
    <w:p w14:paraId="0C9DA16E" w14:textId="77777777" w:rsidR="005F2DE6" w:rsidRPr="0043425A" w:rsidRDefault="005F2DE6" w:rsidP="005F2DE6">
      <w:pPr>
        <w:pStyle w:val="ListParagraph"/>
        <w:numPr>
          <w:ilvl w:val="1"/>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 xml:space="preserve">System Duties / Responsibilities </w:t>
      </w:r>
      <w:r w:rsidRPr="0043425A">
        <w:rPr>
          <w:rFonts w:asciiTheme="minorHAnsi" w:eastAsia="Times New Roman" w:hAnsiTheme="minorHAnsi" w:cstheme="minorHAnsi"/>
          <w:szCs w:val="24"/>
        </w:rPr>
        <w:t>– Reviews Evaluation, Sign, Send to Contract Rep, upon return from CR Finalizes (Closes) the Evaluation, attend all relevant training.</w:t>
      </w:r>
    </w:p>
    <w:bookmarkEnd w:id="1"/>
    <w:p w14:paraId="1646A7B8" w14:textId="77777777" w:rsidR="005F2DE6" w:rsidRPr="0043425A" w:rsidRDefault="005F2DE6" w:rsidP="005F2DE6">
      <w:pPr>
        <w:pStyle w:val="ListParagraph"/>
        <w:numPr>
          <w:ilvl w:val="0"/>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Contractor Rep (CR)</w:t>
      </w:r>
      <w:r w:rsidRPr="0043425A">
        <w:rPr>
          <w:rFonts w:asciiTheme="minorHAnsi" w:eastAsia="Times New Roman" w:hAnsiTheme="minorHAnsi" w:cstheme="minorHAnsi"/>
          <w:szCs w:val="24"/>
        </w:rPr>
        <w:t xml:space="preserve"> – filled by the Contractor (Vendor/Supplier) – </w:t>
      </w:r>
      <w:r w:rsidRPr="0043425A">
        <w:rPr>
          <w:rStyle w:val="Emphasis"/>
          <w:rFonts w:asciiTheme="minorHAnsi" w:hAnsiTheme="minorHAnsi" w:cstheme="minorHAnsi"/>
          <w:szCs w:val="24"/>
        </w:rPr>
        <w:t>must not</w:t>
      </w:r>
      <w:r w:rsidRPr="0043425A">
        <w:rPr>
          <w:rFonts w:asciiTheme="minorHAnsi" w:eastAsia="Times New Roman" w:hAnsiTheme="minorHAnsi" w:cstheme="minorHAnsi"/>
          <w:szCs w:val="24"/>
        </w:rPr>
        <w:t xml:space="preserve"> be filled by a federal employee.</w:t>
      </w:r>
    </w:p>
    <w:p w14:paraId="2F9CFE82" w14:textId="77777777" w:rsidR="005F2DE6" w:rsidRPr="0043425A" w:rsidRDefault="005F2DE6" w:rsidP="005F2DE6">
      <w:pPr>
        <w:pStyle w:val="ListParagraph"/>
        <w:numPr>
          <w:ilvl w:val="1"/>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 xml:space="preserve">System Duties / Responsibilities </w:t>
      </w:r>
      <w:r w:rsidRPr="0043425A">
        <w:rPr>
          <w:rFonts w:asciiTheme="minorHAnsi" w:eastAsia="Times New Roman" w:hAnsiTheme="minorHAnsi" w:cstheme="minorHAnsi"/>
          <w:szCs w:val="24"/>
        </w:rPr>
        <w:t>– Reviews the Evaluation, either concurs or non-concur, sends back to AO, attend all relevant training.</w:t>
      </w:r>
    </w:p>
    <w:p w14:paraId="34DC91B3" w14:textId="77777777" w:rsidR="005F2DE6" w:rsidRPr="0043425A" w:rsidRDefault="005F2DE6" w:rsidP="005F2DE6">
      <w:pPr>
        <w:pStyle w:val="ListParagraph"/>
        <w:numPr>
          <w:ilvl w:val="0"/>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Reviewing Official (RO)</w:t>
      </w:r>
      <w:r w:rsidRPr="0043425A">
        <w:rPr>
          <w:rFonts w:asciiTheme="minorHAnsi" w:eastAsia="Times New Roman" w:hAnsiTheme="minorHAnsi" w:cstheme="minorHAnsi"/>
          <w:szCs w:val="24"/>
        </w:rPr>
        <w:t xml:space="preserve"> – normally held by a position one level above the CO/CS (i.e., Team or Branch Lead)</w:t>
      </w:r>
    </w:p>
    <w:p w14:paraId="0CCE5D04" w14:textId="77777777" w:rsidR="005F2DE6" w:rsidRPr="0043425A" w:rsidRDefault="005F2DE6" w:rsidP="005F2DE6">
      <w:pPr>
        <w:pStyle w:val="ListParagraph"/>
        <w:numPr>
          <w:ilvl w:val="1"/>
          <w:numId w:val="1"/>
        </w:numPr>
        <w:spacing w:before="120" w:after="120" w:line="176" w:lineRule="atLeast"/>
        <w:contextualSpacing w:val="0"/>
        <w:rPr>
          <w:rFonts w:asciiTheme="minorHAnsi" w:eastAsia="Times New Roman" w:hAnsiTheme="minorHAnsi" w:cstheme="minorHAnsi"/>
          <w:szCs w:val="24"/>
        </w:rPr>
      </w:pPr>
      <w:r w:rsidRPr="0043425A">
        <w:rPr>
          <w:rStyle w:val="Strong"/>
          <w:rFonts w:asciiTheme="minorHAnsi" w:hAnsiTheme="minorHAnsi" w:cstheme="minorHAnsi"/>
          <w:szCs w:val="24"/>
        </w:rPr>
        <w:t xml:space="preserve">System Duties / Responsibilities </w:t>
      </w:r>
      <w:r w:rsidRPr="0043425A">
        <w:rPr>
          <w:rFonts w:asciiTheme="minorHAnsi" w:eastAsia="Times New Roman" w:hAnsiTheme="minorHAnsi" w:cstheme="minorHAnsi"/>
          <w:szCs w:val="24"/>
        </w:rPr>
        <w:t xml:space="preserve">– Settles disputes, communicates with AO &amp; CR, </w:t>
      </w:r>
      <w:proofErr w:type="gramStart"/>
      <w:r w:rsidRPr="0043425A">
        <w:rPr>
          <w:rFonts w:asciiTheme="minorHAnsi" w:eastAsia="Times New Roman" w:hAnsiTheme="minorHAnsi" w:cstheme="minorHAnsi"/>
          <w:szCs w:val="24"/>
        </w:rPr>
        <w:t>Finalizes</w:t>
      </w:r>
      <w:proofErr w:type="gramEnd"/>
      <w:r w:rsidRPr="0043425A">
        <w:rPr>
          <w:rFonts w:asciiTheme="minorHAnsi" w:eastAsia="Times New Roman" w:hAnsiTheme="minorHAnsi" w:cstheme="minorHAnsi"/>
          <w:szCs w:val="24"/>
        </w:rPr>
        <w:t xml:space="preserve"> (Closes) the Evaluation, attend all relevant training.</w:t>
      </w:r>
    </w:p>
    <w:p w14:paraId="63D325E3" w14:textId="77777777" w:rsidR="005F2DE6" w:rsidRPr="0043425A" w:rsidRDefault="005F2DE6" w:rsidP="005F2DE6">
      <w:pPr>
        <w:spacing w:before="240" w:after="0" w:line="176" w:lineRule="atLeast"/>
        <w:rPr>
          <w:rFonts w:asciiTheme="minorHAnsi" w:eastAsia="Times New Roman" w:hAnsiTheme="minorHAnsi" w:cstheme="minorHAnsi"/>
          <w:szCs w:val="24"/>
        </w:rPr>
      </w:pPr>
      <w:r w:rsidRPr="0043425A">
        <w:rPr>
          <w:rFonts w:asciiTheme="minorHAnsi" w:eastAsia="Times New Roman" w:hAnsiTheme="minorHAnsi" w:cstheme="minorHAnsi"/>
          <w:szCs w:val="24"/>
        </w:rPr>
        <w:t xml:space="preserve">*In the event the role of the AOR is performed by the AO for a </w:t>
      </w:r>
      <w:proofErr w:type="gramStart"/>
      <w:r w:rsidRPr="0043425A">
        <w:rPr>
          <w:rFonts w:asciiTheme="minorHAnsi" w:eastAsia="Times New Roman" w:hAnsiTheme="minorHAnsi" w:cstheme="minorHAnsi"/>
          <w:szCs w:val="24"/>
        </w:rPr>
        <w:t>particular Office</w:t>
      </w:r>
      <w:proofErr w:type="gramEnd"/>
      <w:r w:rsidRPr="0043425A">
        <w:rPr>
          <w:rFonts w:asciiTheme="minorHAnsi" w:eastAsia="Times New Roman" w:hAnsiTheme="minorHAnsi" w:cstheme="minorHAnsi"/>
          <w:szCs w:val="24"/>
        </w:rPr>
        <w:t xml:space="preserve"> of Acquisition, simply assign the user role of AO.  The AO has the same system functions and authorities as the AOR.</w:t>
      </w:r>
    </w:p>
    <w:p w14:paraId="36616196" w14:textId="77777777" w:rsidR="005F2DE6" w:rsidRPr="0043425A" w:rsidRDefault="005F2DE6" w:rsidP="00CF32EE">
      <w:pPr>
        <w:pStyle w:val="Heading1"/>
        <w:jc w:val="left"/>
        <w:rPr>
          <w:rFonts w:asciiTheme="minorHAnsi" w:hAnsiTheme="minorHAnsi" w:cstheme="minorHAnsi"/>
          <w:sz w:val="24"/>
          <w:szCs w:val="24"/>
        </w:rPr>
      </w:pPr>
      <w:bookmarkStart w:id="2" w:name="_Toc12272567"/>
      <w:r w:rsidRPr="0043425A">
        <w:rPr>
          <w:rFonts w:asciiTheme="minorHAnsi" w:hAnsiTheme="minorHAnsi" w:cstheme="minorHAnsi"/>
          <w:sz w:val="24"/>
          <w:szCs w:val="24"/>
        </w:rPr>
        <w:t>Focal Point (FP)</w:t>
      </w:r>
      <w:bookmarkEnd w:id="2"/>
    </w:p>
    <w:p w14:paraId="50E99574" w14:textId="77777777" w:rsidR="001F49D0" w:rsidRDefault="005F2DE6" w:rsidP="001F49D0">
      <w:pPr>
        <w:rPr>
          <w:rFonts w:asciiTheme="minorHAnsi" w:hAnsiTheme="minorHAnsi" w:cstheme="minorHAnsi"/>
          <w:szCs w:val="24"/>
        </w:rPr>
      </w:pPr>
      <w:r w:rsidRPr="0043425A">
        <w:rPr>
          <w:rFonts w:asciiTheme="minorHAnsi" w:hAnsiTheme="minorHAnsi" w:cstheme="minorHAnsi"/>
          <w:szCs w:val="24"/>
        </w:rPr>
        <w:t xml:space="preserve">Each NIH Office of Acquisition may assign as </w:t>
      </w:r>
      <w:r w:rsidRPr="0043425A">
        <w:rPr>
          <w:rStyle w:val="Strong"/>
          <w:rFonts w:asciiTheme="minorHAnsi" w:hAnsiTheme="minorHAnsi" w:cstheme="minorHAnsi"/>
          <w:szCs w:val="24"/>
        </w:rPr>
        <w:t>many</w:t>
      </w:r>
      <w:r w:rsidRPr="0043425A">
        <w:rPr>
          <w:rFonts w:asciiTheme="minorHAnsi" w:hAnsiTheme="minorHAnsi" w:cstheme="minorHAnsi"/>
          <w:szCs w:val="24"/>
        </w:rPr>
        <w:t xml:space="preserve"> </w:t>
      </w:r>
      <w:hyperlink r:id="rId28" w:history="1">
        <w:r w:rsidRPr="0043425A">
          <w:rPr>
            <w:rStyle w:val="Hyperlink"/>
            <w:rFonts w:asciiTheme="minorHAnsi" w:hAnsiTheme="minorHAnsi" w:cstheme="minorHAnsi"/>
            <w:szCs w:val="24"/>
          </w:rPr>
          <w:t>Focal Points</w:t>
        </w:r>
      </w:hyperlink>
      <w:r w:rsidRPr="0043425A">
        <w:rPr>
          <w:rFonts w:asciiTheme="minorHAnsi" w:hAnsiTheme="minorHAnsi" w:cstheme="minorHAnsi"/>
          <w:szCs w:val="24"/>
        </w:rPr>
        <w:t xml:space="preserve"> as required.  However, Alternate Focal Point access is limited to five (5) Alternate Focal Points per contract action.</w:t>
      </w:r>
    </w:p>
    <w:p w14:paraId="2C175470" w14:textId="77777777" w:rsidR="001F49D0" w:rsidRPr="001F49D0" w:rsidRDefault="005F2DE6" w:rsidP="001F49D0">
      <w:pPr>
        <w:pStyle w:val="ListParagraph"/>
        <w:numPr>
          <w:ilvl w:val="0"/>
          <w:numId w:val="2"/>
        </w:numPr>
        <w:rPr>
          <w:rFonts w:asciiTheme="minorHAnsi" w:hAnsiTheme="minorHAnsi" w:cstheme="minorHAnsi"/>
          <w:szCs w:val="24"/>
        </w:rPr>
      </w:pPr>
      <w:r w:rsidRPr="001F49D0">
        <w:rPr>
          <w:rFonts w:asciiTheme="minorHAnsi" w:eastAsia="Times New Roman" w:hAnsiTheme="minorHAnsi" w:cstheme="minorHAnsi"/>
          <w:color w:val="000000"/>
          <w:szCs w:val="24"/>
        </w:rPr>
        <w:t xml:space="preserve">Must be held by a </w:t>
      </w:r>
      <w:r w:rsidRPr="001F49D0">
        <w:rPr>
          <w:rStyle w:val="Strong"/>
          <w:rFonts w:asciiTheme="minorHAnsi" w:hAnsiTheme="minorHAnsi" w:cstheme="minorHAnsi"/>
          <w:szCs w:val="24"/>
        </w:rPr>
        <w:t>federal employee (FTE)</w:t>
      </w:r>
      <w:r w:rsidRPr="001F49D0">
        <w:rPr>
          <w:rFonts w:asciiTheme="minorHAnsi" w:eastAsia="Times New Roman" w:hAnsiTheme="minorHAnsi" w:cstheme="minorHAnsi"/>
          <w:color w:val="000000"/>
          <w:szCs w:val="24"/>
        </w:rPr>
        <w:t>.</w:t>
      </w:r>
    </w:p>
    <w:p w14:paraId="160F299A" w14:textId="77777777" w:rsidR="00CF32EE" w:rsidRPr="001F49D0" w:rsidRDefault="005F2DE6" w:rsidP="001F49D0">
      <w:pPr>
        <w:pStyle w:val="ListParagraph"/>
        <w:numPr>
          <w:ilvl w:val="0"/>
          <w:numId w:val="2"/>
        </w:numPr>
        <w:rPr>
          <w:rFonts w:asciiTheme="minorHAnsi" w:hAnsiTheme="minorHAnsi" w:cstheme="minorHAnsi"/>
          <w:szCs w:val="24"/>
        </w:rPr>
      </w:pPr>
      <w:r w:rsidRPr="001F49D0">
        <w:rPr>
          <w:rStyle w:val="Strong"/>
          <w:rFonts w:asciiTheme="minorHAnsi" w:hAnsiTheme="minorHAnsi" w:cstheme="minorHAnsi"/>
          <w:szCs w:val="24"/>
        </w:rPr>
        <w:t>Focal Point (FP):</w:t>
      </w:r>
      <w:r w:rsidRPr="001F49D0">
        <w:rPr>
          <w:rFonts w:asciiTheme="minorHAnsi" w:eastAsia="Times New Roman" w:hAnsiTheme="minorHAnsi" w:cstheme="minorHAnsi"/>
          <w:color w:val="3B1D1E"/>
          <w:szCs w:val="24"/>
        </w:rPr>
        <w:t xml:space="preserve"> </w:t>
      </w:r>
      <w:r w:rsidRPr="001F49D0">
        <w:rPr>
          <w:rFonts w:asciiTheme="minorHAnsi" w:eastAsia="Times New Roman" w:hAnsiTheme="minorHAnsi" w:cstheme="minorHAnsi"/>
          <w:szCs w:val="24"/>
        </w:rPr>
        <w:t>The Focal Point provides overall support for the CPARS process for their specific NIH Office of Acquisitions.</w:t>
      </w:r>
      <w:bookmarkStart w:id="3" w:name="_Toc12272568"/>
    </w:p>
    <w:p w14:paraId="5EBBB569" w14:textId="77777777" w:rsidR="001F49D0" w:rsidRDefault="005F2DE6" w:rsidP="001F49D0">
      <w:pPr>
        <w:spacing w:before="120" w:after="0" w:line="176" w:lineRule="atLeast"/>
        <w:rPr>
          <w:rFonts w:asciiTheme="minorHAnsi" w:eastAsia="Times New Roman" w:hAnsiTheme="minorHAnsi" w:cstheme="minorHAnsi"/>
          <w:b/>
          <w:bCs/>
          <w:szCs w:val="24"/>
        </w:rPr>
      </w:pPr>
      <w:r w:rsidRPr="00CF32EE">
        <w:rPr>
          <w:rFonts w:asciiTheme="minorHAnsi" w:hAnsiTheme="minorHAnsi" w:cstheme="minorHAnsi"/>
          <w:b/>
          <w:bCs/>
          <w:szCs w:val="24"/>
        </w:rPr>
        <w:t>Focal Point / Alternate Focal Point Training Requirements</w:t>
      </w:r>
      <w:bookmarkStart w:id="4" w:name="_Hlk12261004"/>
      <w:bookmarkEnd w:id="3"/>
    </w:p>
    <w:p w14:paraId="622B6D63" w14:textId="77777777" w:rsidR="001F49D0" w:rsidRPr="001F49D0" w:rsidRDefault="005F2DE6" w:rsidP="001F49D0">
      <w:pPr>
        <w:pStyle w:val="ListParagraph"/>
        <w:numPr>
          <w:ilvl w:val="0"/>
          <w:numId w:val="2"/>
        </w:numPr>
        <w:spacing w:before="120" w:after="0" w:line="176" w:lineRule="atLeast"/>
        <w:rPr>
          <w:rStyle w:val="Hyperlink"/>
          <w:rFonts w:asciiTheme="minorHAnsi" w:eastAsia="Times New Roman" w:hAnsiTheme="minorHAnsi" w:cstheme="minorHAnsi"/>
          <w:b/>
          <w:bCs/>
          <w:color w:val="auto"/>
          <w:szCs w:val="24"/>
          <w:u w:val="none"/>
        </w:rPr>
      </w:pPr>
      <w:r w:rsidRPr="001F49D0">
        <w:rPr>
          <w:rFonts w:asciiTheme="minorHAnsi" w:eastAsia="Times New Roman" w:hAnsiTheme="minorHAnsi" w:cstheme="minorHAnsi"/>
          <w:szCs w:val="24"/>
        </w:rPr>
        <w:t xml:space="preserve">CPARS Overview - </w:t>
      </w:r>
      <w:hyperlink r:id="rId29" w:history="1">
        <w:r w:rsidRPr="001F49D0">
          <w:rPr>
            <w:rStyle w:val="Hyperlink"/>
            <w:rFonts w:asciiTheme="minorHAnsi" w:hAnsiTheme="minorHAnsi" w:cstheme="minorHAnsi"/>
            <w:szCs w:val="24"/>
          </w:rPr>
          <w:t>https://www.cpars.gov/webtrain_auto.htm</w:t>
        </w:r>
      </w:hyperlink>
    </w:p>
    <w:p w14:paraId="37104C8D" w14:textId="77777777" w:rsidR="001F49D0" w:rsidRPr="001F49D0" w:rsidRDefault="005F2DE6" w:rsidP="001F49D0">
      <w:pPr>
        <w:pStyle w:val="ListParagraph"/>
        <w:numPr>
          <w:ilvl w:val="1"/>
          <w:numId w:val="2"/>
        </w:numPr>
        <w:spacing w:before="120" w:after="0" w:line="176" w:lineRule="atLeast"/>
        <w:rPr>
          <w:rStyle w:val="SubtleEmphasis"/>
          <w:rFonts w:asciiTheme="minorHAnsi" w:eastAsia="Times New Roman" w:hAnsiTheme="minorHAnsi" w:cstheme="minorHAnsi"/>
          <w:b/>
          <w:bCs/>
          <w:i w:val="0"/>
          <w:iCs w:val="0"/>
          <w:szCs w:val="24"/>
        </w:rPr>
      </w:pPr>
      <w:r w:rsidRPr="001F49D0">
        <w:rPr>
          <w:rStyle w:val="SubtleEmphasis"/>
          <w:rFonts w:asciiTheme="minorHAnsi" w:hAnsiTheme="minorHAnsi" w:cstheme="minorHAnsi"/>
          <w:szCs w:val="24"/>
        </w:rPr>
        <w:lastRenderedPageBreak/>
        <w:t>The CPARS Overview online course benefits ALL User Roles</w:t>
      </w:r>
      <w:bookmarkEnd w:id="4"/>
    </w:p>
    <w:p w14:paraId="0755920C" w14:textId="77777777" w:rsidR="001F49D0" w:rsidRPr="001F49D0" w:rsidRDefault="005F2DE6" w:rsidP="001F49D0">
      <w:pPr>
        <w:pStyle w:val="ListParagraph"/>
        <w:numPr>
          <w:ilvl w:val="0"/>
          <w:numId w:val="2"/>
        </w:numPr>
        <w:spacing w:before="120" w:after="0" w:line="176" w:lineRule="atLeast"/>
        <w:rPr>
          <w:rStyle w:val="Hyperlink"/>
          <w:rFonts w:asciiTheme="minorHAnsi" w:eastAsia="Times New Roman" w:hAnsiTheme="minorHAnsi" w:cstheme="minorHAnsi"/>
          <w:b/>
          <w:bCs/>
          <w:color w:val="auto"/>
          <w:szCs w:val="24"/>
          <w:u w:val="none"/>
        </w:rPr>
      </w:pPr>
      <w:r w:rsidRPr="001F49D0">
        <w:rPr>
          <w:rFonts w:asciiTheme="minorHAnsi" w:eastAsia="Times New Roman" w:hAnsiTheme="minorHAnsi" w:cstheme="minorHAnsi"/>
          <w:szCs w:val="24"/>
        </w:rPr>
        <w:t xml:space="preserve">Focal Point and Agency POC Auto Register Function - </w:t>
      </w:r>
      <w:hyperlink r:id="rId30" w:history="1">
        <w:r w:rsidRPr="001F49D0">
          <w:rPr>
            <w:rStyle w:val="Hyperlink"/>
            <w:rFonts w:asciiTheme="minorHAnsi" w:hAnsiTheme="minorHAnsi" w:cstheme="minorHAnsi"/>
            <w:szCs w:val="24"/>
          </w:rPr>
          <w:t>https://www.cpars.gov/webtrain_all.htm</w:t>
        </w:r>
      </w:hyperlink>
    </w:p>
    <w:p w14:paraId="78D07B25" w14:textId="77777777" w:rsidR="00CF32EE" w:rsidRPr="001F49D0" w:rsidRDefault="005F2DE6" w:rsidP="001F49D0">
      <w:pPr>
        <w:pStyle w:val="ListParagraph"/>
        <w:numPr>
          <w:ilvl w:val="0"/>
          <w:numId w:val="2"/>
        </w:numPr>
        <w:spacing w:before="120" w:after="0" w:line="176" w:lineRule="atLeast"/>
        <w:rPr>
          <w:rFonts w:asciiTheme="minorHAnsi" w:eastAsia="Times New Roman" w:hAnsiTheme="minorHAnsi" w:cstheme="minorHAnsi"/>
          <w:b/>
          <w:bCs/>
          <w:szCs w:val="24"/>
        </w:rPr>
      </w:pPr>
      <w:r w:rsidRPr="001F49D0">
        <w:rPr>
          <w:rFonts w:asciiTheme="minorHAnsi" w:eastAsia="Times New Roman" w:hAnsiTheme="minorHAnsi" w:cstheme="minorHAnsi"/>
          <w:szCs w:val="24"/>
        </w:rPr>
        <w:t xml:space="preserve">CPARS Reports </w:t>
      </w:r>
      <w:bookmarkStart w:id="5" w:name="_Toc12272569"/>
    </w:p>
    <w:p w14:paraId="711141C2" w14:textId="77777777" w:rsidR="005F2DE6" w:rsidRPr="00CF32EE" w:rsidRDefault="005F2DE6" w:rsidP="00CF32EE">
      <w:pPr>
        <w:spacing w:before="120" w:after="0" w:line="176" w:lineRule="atLeast"/>
        <w:rPr>
          <w:rFonts w:asciiTheme="minorHAnsi" w:eastAsia="Times New Roman" w:hAnsiTheme="minorHAnsi" w:cstheme="minorHAnsi"/>
          <w:b/>
          <w:bCs/>
          <w:szCs w:val="24"/>
        </w:rPr>
      </w:pPr>
      <w:r w:rsidRPr="00CF32EE">
        <w:rPr>
          <w:rFonts w:asciiTheme="minorHAnsi" w:hAnsiTheme="minorHAnsi" w:cstheme="minorHAnsi"/>
          <w:b/>
          <w:bCs/>
          <w:szCs w:val="24"/>
        </w:rPr>
        <w:t>Focal Point Access Request</w:t>
      </w:r>
      <w:bookmarkEnd w:id="5"/>
    </w:p>
    <w:p w14:paraId="3E14B17A" w14:textId="77777777" w:rsidR="001F49D0" w:rsidRDefault="005F2DE6" w:rsidP="001F49D0">
      <w:pPr>
        <w:pStyle w:val="ListParagraph"/>
        <w:numPr>
          <w:ilvl w:val="0"/>
          <w:numId w:val="2"/>
        </w:numPr>
        <w:spacing w:before="120" w:after="0" w:line="176" w:lineRule="atLeast"/>
        <w:rPr>
          <w:rFonts w:asciiTheme="minorHAnsi" w:eastAsia="Times New Roman" w:hAnsiTheme="minorHAnsi" w:cstheme="minorHAnsi"/>
          <w:szCs w:val="24"/>
        </w:rPr>
      </w:pPr>
      <w:r w:rsidRPr="001F49D0">
        <w:rPr>
          <w:rFonts w:asciiTheme="minorHAnsi" w:eastAsia="Times New Roman" w:hAnsiTheme="minorHAnsi" w:cstheme="minorHAnsi"/>
          <w:szCs w:val="24"/>
        </w:rPr>
        <w:t xml:space="preserve">Complete the </w:t>
      </w:r>
      <w:r w:rsidRPr="001F49D0">
        <w:rPr>
          <w:rStyle w:val="Strong"/>
          <w:rFonts w:asciiTheme="minorHAnsi" w:hAnsiTheme="minorHAnsi" w:cstheme="minorHAnsi"/>
          <w:szCs w:val="24"/>
        </w:rPr>
        <w:t>Overview Training</w:t>
      </w:r>
      <w:r w:rsidRPr="001F49D0">
        <w:rPr>
          <w:rFonts w:asciiTheme="minorHAnsi" w:eastAsia="Times New Roman" w:hAnsiTheme="minorHAnsi" w:cstheme="minorHAnsi"/>
          <w:szCs w:val="24"/>
        </w:rPr>
        <w:t xml:space="preserve"> and the </w:t>
      </w:r>
      <w:r w:rsidRPr="001F49D0">
        <w:rPr>
          <w:rStyle w:val="Strong"/>
          <w:rFonts w:asciiTheme="minorHAnsi" w:hAnsiTheme="minorHAnsi" w:cstheme="minorHAnsi"/>
          <w:szCs w:val="24"/>
        </w:rPr>
        <w:t xml:space="preserve">Focal Point and Agency POC Auto Register Function Training </w:t>
      </w:r>
      <w:r w:rsidRPr="001F49D0">
        <w:rPr>
          <w:rFonts w:asciiTheme="minorHAnsi" w:eastAsia="Times New Roman" w:hAnsiTheme="minorHAnsi" w:cstheme="minorHAnsi"/>
          <w:szCs w:val="24"/>
        </w:rPr>
        <w:t>(</w:t>
      </w:r>
      <w:hyperlink r:id="rId31" w:history="1">
        <w:r w:rsidRPr="001F49D0">
          <w:rPr>
            <w:rStyle w:val="Hyperlink"/>
            <w:rFonts w:asciiTheme="minorHAnsi" w:hAnsiTheme="minorHAnsi" w:cstheme="minorHAnsi"/>
            <w:szCs w:val="24"/>
          </w:rPr>
          <w:t>https://www.cpars.gov/webtrain.htm</w:t>
        </w:r>
      </w:hyperlink>
      <w:r w:rsidRPr="001F49D0">
        <w:rPr>
          <w:rFonts w:asciiTheme="minorHAnsi" w:hAnsiTheme="minorHAnsi" w:cstheme="minorHAnsi"/>
          <w:szCs w:val="24"/>
        </w:rPr>
        <w:t>)</w:t>
      </w:r>
      <w:r w:rsidRPr="001F49D0">
        <w:rPr>
          <w:rFonts w:asciiTheme="minorHAnsi" w:eastAsia="Times New Roman" w:hAnsiTheme="minorHAnsi" w:cstheme="minorHAnsi"/>
          <w:szCs w:val="24"/>
        </w:rPr>
        <w:t xml:space="preserve">, </w:t>
      </w:r>
    </w:p>
    <w:p w14:paraId="3AE974DB" w14:textId="77777777" w:rsidR="001F49D0" w:rsidRDefault="005F2DE6" w:rsidP="001F49D0">
      <w:pPr>
        <w:pStyle w:val="ListParagraph"/>
        <w:numPr>
          <w:ilvl w:val="0"/>
          <w:numId w:val="2"/>
        </w:numPr>
        <w:spacing w:before="120" w:after="0" w:line="176" w:lineRule="atLeast"/>
        <w:rPr>
          <w:rFonts w:asciiTheme="minorHAnsi" w:eastAsia="Times New Roman" w:hAnsiTheme="minorHAnsi" w:cstheme="minorHAnsi"/>
          <w:szCs w:val="24"/>
        </w:rPr>
      </w:pPr>
      <w:r w:rsidRPr="001F49D0">
        <w:rPr>
          <w:rFonts w:asciiTheme="minorHAnsi" w:eastAsia="Times New Roman" w:hAnsiTheme="minorHAnsi" w:cstheme="minorHAnsi"/>
          <w:szCs w:val="24"/>
        </w:rPr>
        <w:t xml:space="preserve">Send a copy of the certificate for the </w:t>
      </w:r>
      <w:r w:rsidRPr="001F49D0">
        <w:rPr>
          <w:rStyle w:val="Strong"/>
          <w:rFonts w:asciiTheme="minorHAnsi" w:hAnsiTheme="minorHAnsi" w:cstheme="minorHAnsi"/>
          <w:szCs w:val="24"/>
        </w:rPr>
        <w:t xml:space="preserve">Focal Point and Agency POC Auto Register Function </w:t>
      </w:r>
      <w:r w:rsidRPr="001F49D0">
        <w:rPr>
          <w:rFonts w:asciiTheme="minorHAnsi" w:hAnsiTheme="minorHAnsi" w:cstheme="minorHAnsi"/>
          <w:szCs w:val="24"/>
        </w:rPr>
        <w:t>training</w:t>
      </w:r>
      <w:r w:rsidRPr="001F49D0">
        <w:rPr>
          <w:rFonts w:asciiTheme="minorHAnsi" w:eastAsia="Times New Roman" w:hAnsiTheme="minorHAnsi" w:cstheme="minorHAnsi"/>
          <w:szCs w:val="24"/>
        </w:rPr>
        <w:t xml:space="preserve"> to </w:t>
      </w:r>
      <w:hyperlink r:id="rId32" w:history="1">
        <w:r w:rsidRPr="001F49D0">
          <w:rPr>
            <w:rStyle w:val="Hyperlink"/>
            <w:rFonts w:asciiTheme="minorHAnsi" w:eastAsia="Times New Roman" w:hAnsiTheme="minorHAnsi" w:cstheme="minorHAnsi"/>
            <w:szCs w:val="24"/>
          </w:rPr>
          <w:t>cpars@mail.nih.gov</w:t>
        </w:r>
      </w:hyperlink>
      <w:r w:rsidRPr="001F49D0">
        <w:rPr>
          <w:rFonts w:asciiTheme="minorHAnsi" w:eastAsia="Times New Roman" w:hAnsiTheme="minorHAnsi" w:cstheme="minorHAnsi"/>
          <w:szCs w:val="24"/>
        </w:rPr>
        <w:t>, and</w:t>
      </w:r>
    </w:p>
    <w:p w14:paraId="2934BFBD" w14:textId="77777777" w:rsidR="00CF32EE" w:rsidRPr="001F49D0" w:rsidRDefault="005F2DE6" w:rsidP="001F49D0">
      <w:pPr>
        <w:pStyle w:val="ListParagraph"/>
        <w:numPr>
          <w:ilvl w:val="0"/>
          <w:numId w:val="2"/>
        </w:numPr>
        <w:spacing w:before="120" w:after="0" w:line="176" w:lineRule="atLeast"/>
        <w:rPr>
          <w:rStyle w:val="Hyperlink"/>
          <w:rFonts w:asciiTheme="minorHAnsi" w:eastAsia="Times New Roman" w:hAnsiTheme="minorHAnsi" w:cstheme="minorHAnsi"/>
          <w:color w:val="auto"/>
          <w:szCs w:val="24"/>
          <w:u w:val="none"/>
        </w:rPr>
      </w:pPr>
      <w:r w:rsidRPr="001F49D0">
        <w:rPr>
          <w:rFonts w:asciiTheme="minorHAnsi" w:eastAsia="Times New Roman" w:hAnsiTheme="minorHAnsi" w:cstheme="minorHAnsi"/>
          <w:szCs w:val="24"/>
        </w:rPr>
        <w:t xml:space="preserve">Request Focal Point Access at:  </w:t>
      </w:r>
      <w:hyperlink r:id="rId33" w:history="1">
        <w:r w:rsidRPr="001F49D0">
          <w:rPr>
            <w:rStyle w:val="Hyperlink"/>
            <w:rFonts w:asciiTheme="minorHAnsi" w:hAnsiTheme="minorHAnsi" w:cstheme="minorHAnsi"/>
            <w:szCs w:val="24"/>
          </w:rPr>
          <w:t>https://www.cpars.gov/userforms.htm</w:t>
        </w:r>
      </w:hyperlink>
    </w:p>
    <w:p w14:paraId="67AC88C1" w14:textId="77777777" w:rsidR="005F2DE6" w:rsidRPr="00CF32EE" w:rsidRDefault="005F2DE6" w:rsidP="00CF32EE">
      <w:pPr>
        <w:spacing w:before="120" w:after="0" w:line="176" w:lineRule="atLeast"/>
        <w:rPr>
          <w:rFonts w:asciiTheme="minorHAnsi" w:eastAsia="Times New Roman" w:hAnsiTheme="minorHAnsi" w:cstheme="minorHAnsi"/>
          <w:b/>
          <w:bCs/>
          <w:szCs w:val="24"/>
        </w:rPr>
      </w:pPr>
      <w:r w:rsidRPr="00CF32EE">
        <w:rPr>
          <w:rFonts w:asciiTheme="minorHAnsi" w:hAnsiTheme="minorHAnsi" w:cstheme="minorHAnsi"/>
          <w:b/>
          <w:bCs/>
          <w:szCs w:val="24"/>
        </w:rPr>
        <w:t>CPARS Auto Register Process (Assign Then Register)</w:t>
      </w:r>
    </w:p>
    <w:p w14:paraId="61073ECF" w14:textId="77777777" w:rsidR="005F2DE6" w:rsidRPr="0043425A" w:rsidRDefault="005F2DE6" w:rsidP="005F2DE6">
      <w:pPr>
        <w:spacing w:before="240"/>
        <w:jc w:val="center"/>
        <w:rPr>
          <w:rFonts w:asciiTheme="minorHAnsi" w:hAnsiTheme="minorHAnsi" w:cstheme="minorHAnsi"/>
          <w:szCs w:val="24"/>
        </w:rPr>
      </w:pPr>
      <w:r w:rsidRPr="0043425A">
        <w:rPr>
          <w:rFonts w:asciiTheme="minorHAnsi" w:hAnsiTheme="minorHAnsi" w:cstheme="minorHAnsi"/>
          <w:noProof/>
          <w:szCs w:val="24"/>
        </w:rPr>
        <w:drawing>
          <wp:inline distT="0" distB="0" distL="0" distR="0" wp14:anchorId="7B9F3D5A" wp14:editId="27019ACF">
            <wp:extent cx="3743325" cy="1609725"/>
            <wp:effectExtent l="0" t="0" r="9525" b="9525"/>
            <wp:docPr id="8" name="Picture 8" descr="1 Assign User Roles - 2 Register Contrac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PAssignThenRegister.jpg"/>
                    <pic:cNvPicPr/>
                  </pic:nvPicPr>
                  <pic:blipFill>
                    <a:blip r:embed="rId34">
                      <a:extLst>
                        <a:ext uri="{28A0092B-C50C-407E-A947-70E740481C1C}">
                          <a14:useLocalDpi xmlns:a14="http://schemas.microsoft.com/office/drawing/2010/main" val="0"/>
                        </a:ext>
                      </a:extLst>
                    </a:blip>
                    <a:stretch>
                      <a:fillRect/>
                    </a:stretch>
                  </pic:blipFill>
                  <pic:spPr>
                    <a:xfrm>
                      <a:off x="0" y="0"/>
                      <a:ext cx="3768533" cy="1620565"/>
                    </a:xfrm>
                    <a:prstGeom prst="rect">
                      <a:avLst/>
                    </a:prstGeom>
                  </pic:spPr>
                </pic:pic>
              </a:graphicData>
            </a:graphic>
          </wp:inline>
        </w:drawing>
      </w:r>
    </w:p>
    <w:p w14:paraId="6E017E36" w14:textId="77777777" w:rsidR="005F2DE6" w:rsidRPr="0043425A" w:rsidRDefault="005F2DE6" w:rsidP="005F2DE6">
      <w:pPr>
        <w:spacing w:before="240"/>
        <w:rPr>
          <w:rFonts w:asciiTheme="minorHAnsi" w:hAnsiTheme="minorHAnsi" w:cstheme="minorHAnsi"/>
          <w:szCs w:val="24"/>
        </w:rPr>
      </w:pPr>
      <w:r w:rsidRPr="0043425A">
        <w:rPr>
          <w:rFonts w:asciiTheme="minorHAnsi" w:hAnsiTheme="minorHAnsi" w:cstheme="minorHAnsi"/>
          <w:szCs w:val="24"/>
        </w:rPr>
        <w:t xml:space="preserve">A daily feed from </w:t>
      </w:r>
      <w:r w:rsidRPr="0043425A">
        <w:rPr>
          <w:rStyle w:val="Strong"/>
          <w:rFonts w:asciiTheme="minorHAnsi" w:hAnsiTheme="minorHAnsi" w:cstheme="minorHAnsi"/>
          <w:szCs w:val="24"/>
        </w:rPr>
        <w:t>FPDS-ng</w:t>
      </w:r>
      <w:r w:rsidRPr="0043425A">
        <w:rPr>
          <w:rFonts w:asciiTheme="minorHAnsi" w:hAnsiTheme="minorHAnsi" w:cstheme="minorHAnsi"/>
          <w:szCs w:val="24"/>
        </w:rPr>
        <w:t xml:space="preserve"> is the basis for the </w:t>
      </w:r>
      <w:r w:rsidRPr="0043425A">
        <w:rPr>
          <w:rStyle w:val="Strong"/>
          <w:rFonts w:asciiTheme="minorHAnsi" w:hAnsiTheme="minorHAnsi" w:cstheme="minorHAnsi"/>
          <w:szCs w:val="24"/>
        </w:rPr>
        <w:t>Auto Register Report</w:t>
      </w:r>
      <w:r w:rsidRPr="0043425A">
        <w:rPr>
          <w:rFonts w:asciiTheme="minorHAnsi" w:hAnsiTheme="minorHAnsi" w:cstheme="minorHAnsi"/>
          <w:szCs w:val="24"/>
        </w:rPr>
        <w:t>.</w:t>
      </w:r>
    </w:p>
    <w:p w14:paraId="4A53D6DA" w14:textId="77777777" w:rsidR="005F2DE6" w:rsidRPr="0043425A" w:rsidRDefault="005F2DE6" w:rsidP="005F2DE6">
      <w:pPr>
        <w:spacing w:before="240"/>
        <w:rPr>
          <w:rStyle w:val="IntenseEmphasis"/>
          <w:rFonts w:asciiTheme="minorHAnsi" w:hAnsiTheme="minorHAnsi" w:cstheme="minorHAnsi"/>
          <w:szCs w:val="24"/>
        </w:rPr>
      </w:pPr>
      <w:r w:rsidRPr="0043425A">
        <w:rPr>
          <w:rStyle w:val="IntenseEmphasis"/>
          <w:rFonts w:asciiTheme="minorHAnsi" w:hAnsiTheme="minorHAnsi" w:cstheme="minorHAnsi"/>
          <w:szCs w:val="24"/>
        </w:rPr>
        <w:t>Focal Points should grant access to the user BEFORE Auto Registering the contract action.</w:t>
      </w:r>
    </w:p>
    <w:p w14:paraId="0D663F24" w14:textId="77777777" w:rsidR="005F2DE6" w:rsidRPr="0043425A" w:rsidRDefault="005F2DE6" w:rsidP="005F2DE6">
      <w:pPr>
        <w:rPr>
          <w:rStyle w:val="IntenseEmphasis"/>
          <w:rFonts w:asciiTheme="minorHAnsi" w:hAnsiTheme="minorHAnsi" w:cstheme="minorHAnsi"/>
          <w:b w:val="0"/>
          <w:i w:val="0"/>
          <w:szCs w:val="24"/>
        </w:rPr>
      </w:pPr>
      <w:r w:rsidRPr="0043425A">
        <w:rPr>
          <w:rStyle w:val="Strong"/>
          <w:rFonts w:asciiTheme="minorHAnsi" w:hAnsiTheme="minorHAnsi" w:cstheme="minorHAnsi"/>
          <w:szCs w:val="24"/>
        </w:rPr>
        <w:t>Please Note:</w:t>
      </w:r>
      <w:r w:rsidRPr="0043425A">
        <w:rPr>
          <w:rStyle w:val="IntenseEmphasis"/>
          <w:rFonts w:asciiTheme="minorHAnsi" w:hAnsiTheme="minorHAnsi" w:cstheme="minorHAnsi"/>
          <w:b w:val="0"/>
          <w:i w:val="0"/>
          <w:szCs w:val="24"/>
        </w:rPr>
        <w:t xml:space="preserve"> When the Focal Point/Alternate Focal Point Auto Register contracts actions before assigning user roles; </w:t>
      </w:r>
      <w:proofErr w:type="gramStart"/>
      <w:r w:rsidRPr="0043425A">
        <w:rPr>
          <w:rStyle w:val="IntenseEmphasis"/>
          <w:rFonts w:asciiTheme="minorHAnsi" w:hAnsiTheme="minorHAnsi" w:cstheme="minorHAnsi"/>
          <w:b w:val="0"/>
          <w:i w:val="0"/>
          <w:szCs w:val="24"/>
        </w:rPr>
        <w:t>this  automatically</w:t>
      </w:r>
      <w:proofErr w:type="gramEnd"/>
      <w:r w:rsidRPr="0043425A">
        <w:rPr>
          <w:rStyle w:val="IntenseEmphasis"/>
          <w:rFonts w:asciiTheme="minorHAnsi" w:hAnsiTheme="minorHAnsi" w:cstheme="minorHAnsi"/>
          <w:b w:val="0"/>
          <w:i w:val="0"/>
          <w:szCs w:val="24"/>
        </w:rPr>
        <w:t xml:space="preserve"> changes the evaluation status to </w:t>
      </w:r>
      <w:r w:rsidRPr="0043425A">
        <w:rPr>
          <w:rStyle w:val="Strong"/>
          <w:rFonts w:asciiTheme="minorHAnsi" w:hAnsiTheme="minorHAnsi" w:cstheme="minorHAnsi"/>
          <w:szCs w:val="24"/>
        </w:rPr>
        <w:t>DRAFTED</w:t>
      </w:r>
      <w:r w:rsidRPr="0043425A">
        <w:rPr>
          <w:rStyle w:val="IntenseEmphasis"/>
          <w:rFonts w:asciiTheme="minorHAnsi" w:hAnsiTheme="minorHAnsi" w:cstheme="minorHAnsi"/>
          <w:b w:val="0"/>
          <w:i w:val="0"/>
          <w:szCs w:val="24"/>
        </w:rPr>
        <w:t xml:space="preserve"> (which bypasses the Assessing Official Rep).</w:t>
      </w:r>
    </w:p>
    <w:p w14:paraId="269108AB" w14:textId="77777777" w:rsidR="005F2DE6" w:rsidRPr="0043425A" w:rsidRDefault="005F2DE6" w:rsidP="005F2DE6">
      <w:pPr>
        <w:rPr>
          <w:rStyle w:val="IntenseEmphasis"/>
          <w:rFonts w:asciiTheme="minorHAnsi" w:hAnsiTheme="minorHAnsi" w:cstheme="minorHAnsi"/>
          <w:b w:val="0"/>
          <w:i w:val="0"/>
          <w:szCs w:val="24"/>
        </w:rPr>
      </w:pPr>
      <w:r w:rsidRPr="0043425A">
        <w:rPr>
          <w:rStyle w:val="IntenseEmphasis"/>
          <w:rFonts w:asciiTheme="minorHAnsi" w:hAnsiTheme="minorHAnsi" w:cstheme="minorHAnsi"/>
          <w:b w:val="0"/>
          <w:i w:val="0"/>
          <w:szCs w:val="24"/>
        </w:rPr>
        <w:t>This is not an issue if you only want to assign the role of Assessing Official.</w:t>
      </w:r>
    </w:p>
    <w:p w14:paraId="250651A1" w14:textId="77777777" w:rsidR="001F49D0" w:rsidRDefault="005F2DE6" w:rsidP="001F49D0">
      <w:pPr>
        <w:rPr>
          <w:rStyle w:val="IntenseEmphasis"/>
          <w:rFonts w:asciiTheme="minorHAnsi" w:hAnsiTheme="minorHAnsi" w:cstheme="minorHAnsi"/>
          <w:b w:val="0"/>
          <w:i w:val="0"/>
          <w:szCs w:val="24"/>
        </w:rPr>
      </w:pPr>
      <w:r w:rsidRPr="0043425A">
        <w:rPr>
          <w:rStyle w:val="IntenseEmphasis"/>
          <w:rFonts w:asciiTheme="minorHAnsi" w:hAnsiTheme="minorHAnsi" w:cstheme="minorHAnsi"/>
          <w:b w:val="0"/>
          <w:i w:val="0"/>
          <w:szCs w:val="24"/>
        </w:rPr>
        <w:t>In this scenario it would be the responsibility of the AO to enter the Ratings &amp; Narratives.</w:t>
      </w:r>
    </w:p>
    <w:p w14:paraId="7E76483B" w14:textId="77777777" w:rsidR="00CF32EE" w:rsidRPr="001F49D0" w:rsidRDefault="005F2DE6" w:rsidP="001F49D0">
      <w:pPr>
        <w:pStyle w:val="ListParagraph"/>
        <w:numPr>
          <w:ilvl w:val="0"/>
          <w:numId w:val="2"/>
        </w:numPr>
        <w:rPr>
          <w:rStyle w:val="Strong"/>
          <w:rFonts w:asciiTheme="minorHAnsi" w:hAnsiTheme="minorHAnsi" w:cstheme="minorHAnsi"/>
          <w:b w:val="0"/>
          <w:iCs/>
          <w:szCs w:val="24"/>
        </w:rPr>
      </w:pPr>
      <w:r w:rsidRPr="001F49D0">
        <w:rPr>
          <w:rStyle w:val="Strong"/>
          <w:rFonts w:asciiTheme="minorHAnsi" w:eastAsia="Times New Roman" w:hAnsiTheme="minorHAnsi" w:cstheme="minorHAnsi"/>
          <w:szCs w:val="24"/>
        </w:rPr>
        <w:t xml:space="preserve">Use the </w:t>
      </w:r>
      <w:hyperlink r:id="rId35" w:history="1">
        <w:r w:rsidRPr="001F49D0">
          <w:rPr>
            <w:rStyle w:val="Hyperlink"/>
            <w:rFonts w:asciiTheme="minorHAnsi" w:eastAsia="Times New Roman" w:hAnsiTheme="minorHAnsi" w:cstheme="minorHAnsi"/>
            <w:szCs w:val="24"/>
          </w:rPr>
          <w:t>CPARS User Manual</w:t>
        </w:r>
      </w:hyperlink>
      <w:r w:rsidRPr="001F49D0">
        <w:rPr>
          <w:rStyle w:val="Strong"/>
          <w:rFonts w:asciiTheme="minorHAnsi" w:eastAsia="Times New Roman" w:hAnsiTheme="minorHAnsi" w:cstheme="minorHAnsi"/>
          <w:szCs w:val="24"/>
        </w:rPr>
        <w:t xml:space="preserve"> to learn how to assign user roles to multiple contract actions (</w:t>
      </w:r>
      <w:r w:rsidRPr="001F49D0">
        <w:rPr>
          <w:rStyle w:val="Emphasis"/>
          <w:rFonts w:asciiTheme="minorHAnsi" w:hAnsiTheme="minorHAnsi" w:cstheme="minorHAnsi"/>
          <w:szCs w:val="24"/>
        </w:rPr>
        <w:t>see</w:t>
      </w:r>
      <w:r w:rsidRPr="001F49D0">
        <w:rPr>
          <w:rStyle w:val="Strong"/>
          <w:rFonts w:asciiTheme="minorHAnsi" w:eastAsia="Times New Roman" w:hAnsiTheme="minorHAnsi" w:cstheme="minorHAnsi"/>
          <w:szCs w:val="24"/>
        </w:rPr>
        <w:t xml:space="preserve">, </w:t>
      </w:r>
      <w:r w:rsidRPr="001F49D0">
        <w:rPr>
          <w:rStyle w:val="Emphasis"/>
          <w:rFonts w:asciiTheme="minorHAnsi" w:hAnsiTheme="minorHAnsi" w:cstheme="minorHAnsi"/>
          <w:szCs w:val="24"/>
        </w:rPr>
        <w:t>clone</w:t>
      </w:r>
      <w:r w:rsidRPr="001F49D0">
        <w:rPr>
          <w:rStyle w:val="Strong"/>
          <w:rFonts w:asciiTheme="minorHAnsi" w:eastAsia="Times New Roman" w:hAnsiTheme="minorHAnsi" w:cstheme="minorHAnsi"/>
          <w:szCs w:val="24"/>
        </w:rPr>
        <w:t xml:space="preserve"> access, remove, transfer user roles).</w:t>
      </w:r>
    </w:p>
    <w:p w14:paraId="1ABDE8DC" w14:textId="77777777" w:rsidR="005F2DE6" w:rsidRPr="00CF32EE" w:rsidRDefault="005F2DE6" w:rsidP="00CF32EE">
      <w:pPr>
        <w:spacing w:before="120" w:after="240" w:line="240" w:lineRule="auto"/>
        <w:rPr>
          <w:rFonts w:asciiTheme="minorHAnsi" w:eastAsiaTheme="majorEastAsia" w:hAnsiTheme="minorHAnsi" w:cstheme="minorHAnsi"/>
          <w:color w:val="00419E"/>
          <w:szCs w:val="24"/>
        </w:rPr>
      </w:pPr>
      <w:r w:rsidRPr="00CF32EE">
        <w:rPr>
          <w:rFonts w:asciiTheme="minorHAnsi" w:hAnsiTheme="minorHAnsi" w:cstheme="minorHAnsi"/>
          <w:b/>
          <w:bCs/>
          <w:szCs w:val="24"/>
        </w:rPr>
        <w:t>CPARS Timeline</w:t>
      </w:r>
    </w:p>
    <w:p w14:paraId="029B0948" w14:textId="77777777" w:rsidR="001F49D0" w:rsidRDefault="005F2DE6" w:rsidP="001F49D0">
      <w:pPr>
        <w:pStyle w:val="ListParagraph"/>
        <w:numPr>
          <w:ilvl w:val="0"/>
          <w:numId w:val="2"/>
        </w:numPr>
        <w:rPr>
          <w:rFonts w:asciiTheme="minorHAnsi" w:hAnsiTheme="minorHAnsi" w:cstheme="minorHAnsi"/>
          <w:szCs w:val="24"/>
        </w:rPr>
      </w:pPr>
      <w:r w:rsidRPr="001F49D0">
        <w:rPr>
          <w:rFonts w:asciiTheme="minorHAnsi" w:hAnsiTheme="minorHAnsi" w:cstheme="minorHAnsi"/>
          <w:b/>
          <w:bCs/>
          <w:szCs w:val="24"/>
        </w:rPr>
        <w:t>30 Days After Contract Award Date:</w:t>
      </w:r>
      <w:r w:rsidRPr="001F49D0">
        <w:rPr>
          <w:rFonts w:asciiTheme="minorHAnsi" w:hAnsiTheme="minorHAnsi" w:cstheme="minorHAnsi"/>
          <w:szCs w:val="24"/>
        </w:rPr>
        <w:t xml:space="preserve"> The FP/AFP assigns user roles; register the contract action.</w:t>
      </w:r>
    </w:p>
    <w:p w14:paraId="10BFBBF7" w14:textId="77777777" w:rsidR="001F49D0" w:rsidRDefault="005F2DE6" w:rsidP="001F49D0">
      <w:pPr>
        <w:pStyle w:val="ListParagraph"/>
        <w:numPr>
          <w:ilvl w:val="0"/>
          <w:numId w:val="2"/>
        </w:numPr>
        <w:rPr>
          <w:rFonts w:asciiTheme="minorHAnsi" w:hAnsiTheme="minorHAnsi" w:cstheme="minorHAnsi"/>
          <w:szCs w:val="24"/>
        </w:rPr>
      </w:pPr>
      <w:r w:rsidRPr="001F49D0">
        <w:rPr>
          <w:rFonts w:asciiTheme="minorHAnsi" w:hAnsiTheme="minorHAnsi" w:cstheme="minorHAnsi"/>
          <w:b/>
          <w:bCs/>
          <w:szCs w:val="24"/>
        </w:rPr>
        <w:t>335 Days After Contract Award Date:</w:t>
      </w:r>
      <w:r w:rsidRPr="001F49D0">
        <w:rPr>
          <w:rFonts w:asciiTheme="minorHAnsi" w:hAnsiTheme="minorHAnsi" w:cstheme="minorHAnsi"/>
          <w:szCs w:val="24"/>
        </w:rPr>
        <w:t xml:space="preserve"> The Evaluation appears on the AOR / AO To-Do List.</w:t>
      </w:r>
    </w:p>
    <w:p w14:paraId="269ABE0A" w14:textId="77777777" w:rsidR="001F49D0" w:rsidRDefault="005F2DE6" w:rsidP="001F49D0">
      <w:pPr>
        <w:pStyle w:val="ListParagraph"/>
        <w:numPr>
          <w:ilvl w:val="0"/>
          <w:numId w:val="2"/>
        </w:numPr>
        <w:rPr>
          <w:rFonts w:asciiTheme="minorHAnsi" w:hAnsiTheme="minorHAnsi" w:cstheme="minorHAnsi"/>
          <w:szCs w:val="24"/>
        </w:rPr>
      </w:pPr>
      <w:r w:rsidRPr="001F49D0">
        <w:rPr>
          <w:rFonts w:asciiTheme="minorHAnsi" w:hAnsiTheme="minorHAnsi" w:cstheme="minorHAnsi"/>
          <w:b/>
          <w:bCs/>
          <w:szCs w:val="24"/>
        </w:rPr>
        <w:lastRenderedPageBreak/>
        <w:t xml:space="preserve">365 – 485 Days After Contract Award Date: </w:t>
      </w:r>
      <w:r w:rsidRPr="001F49D0">
        <w:rPr>
          <w:rFonts w:asciiTheme="minorHAnsi" w:hAnsiTheme="minorHAnsi" w:cstheme="minorHAnsi"/>
          <w:szCs w:val="24"/>
        </w:rPr>
        <w:t>The AOR / AO enters Evaluation Ratings and Narratives; Validates and sends to AO for Review</w:t>
      </w:r>
    </w:p>
    <w:p w14:paraId="19793ECE" w14:textId="77777777" w:rsidR="001F49D0" w:rsidRDefault="005F2DE6" w:rsidP="001F49D0">
      <w:pPr>
        <w:pStyle w:val="ListParagraph"/>
        <w:numPr>
          <w:ilvl w:val="0"/>
          <w:numId w:val="2"/>
        </w:numPr>
        <w:rPr>
          <w:rFonts w:asciiTheme="minorHAnsi" w:hAnsiTheme="minorHAnsi" w:cstheme="minorHAnsi"/>
          <w:szCs w:val="24"/>
        </w:rPr>
      </w:pPr>
      <w:r w:rsidRPr="001F49D0">
        <w:rPr>
          <w:rFonts w:asciiTheme="minorHAnsi" w:hAnsiTheme="minorHAnsi" w:cstheme="minorHAnsi"/>
          <w:b/>
          <w:bCs/>
          <w:szCs w:val="24"/>
        </w:rPr>
        <w:t xml:space="preserve">365 – 485 Days After Contract Award Date: </w:t>
      </w:r>
      <w:r w:rsidRPr="001F49D0">
        <w:rPr>
          <w:rFonts w:asciiTheme="minorHAnsi" w:hAnsiTheme="minorHAnsi" w:cstheme="minorHAnsi"/>
          <w:szCs w:val="24"/>
        </w:rPr>
        <w:t xml:space="preserve">AO Send Evaluation to the CR. The AO is locked out of the action for 60 Days. </w:t>
      </w:r>
    </w:p>
    <w:p w14:paraId="5B6B2F03" w14:textId="77777777" w:rsidR="001F49D0" w:rsidRDefault="005F2DE6" w:rsidP="001F49D0">
      <w:pPr>
        <w:pStyle w:val="ListParagraph"/>
        <w:numPr>
          <w:ilvl w:val="0"/>
          <w:numId w:val="2"/>
        </w:numPr>
        <w:rPr>
          <w:rFonts w:asciiTheme="minorHAnsi" w:hAnsiTheme="minorHAnsi" w:cstheme="minorHAnsi"/>
          <w:szCs w:val="24"/>
        </w:rPr>
      </w:pPr>
      <w:r w:rsidRPr="001F49D0">
        <w:rPr>
          <w:rFonts w:asciiTheme="minorHAnsi" w:hAnsiTheme="minorHAnsi" w:cstheme="minorHAnsi"/>
          <w:b/>
          <w:bCs/>
          <w:szCs w:val="24"/>
        </w:rPr>
        <w:t xml:space="preserve">Day 61 After Evaluation Sent to CR: </w:t>
      </w:r>
      <w:r w:rsidRPr="001F49D0">
        <w:rPr>
          <w:rFonts w:asciiTheme="minorHAnsi" w:hAnsiTheme="minorHAnsi" w:cstheme="minorHAnsi"/>
          <w:szCs w:val="24"/>
        </w:rPr>
        <w:t xml:space="preserve">Evaluation returned to AO, CR locked out and may no longer send comments. </w:t>
      </w:r>
    </w:p>
    <w:p w14:paraId="39F77F8D" w14:textId="77777777" w:rsidR="001F49D0" w:rsidRDefault="005F2DE6" w:rsidP="001F49D0">
      <w:pPr>
        <w:pStyle w:val="ListParagraph"/>
        <w:numPr>
          <w:ilvl w:val="1"/>
          <w:numId w:val="2"/>
        </w:numPr>
        <w:rPr>
          <w:rFonts w:asciiTheme="minorHAnsi" w:hAnsiTheme="minorHAnsi" w:cstheme="minorHAnsi"/>
          <w:szCs w:val="24"/>
        </w:rPr>
      </w:pPr>
      <w:r w:rsidRPr="001F49D0">
        <w:rPr>
          <w:rFonts w:asciiTheme="minorHAnsi" w:hAnsiTheme="minorHAnsi" w:cstheme="minorHAnsi"/>
          <w:szCs w:val="24"/>
        </w:rPr>
        <w:t xml:space="preserve">If the Contractor Rep </w:t>
      </w:r>
      <w:r w:rsidRPr="001F49D0">
        <w:rPr>
          <w:rFonts w:asciiTheme="minorHAnsi" w:hAnsiTheme="minorHAnsi" w:cstheme="minorHAnsi"/>
          <w:b/>
          <w:bCs/>
          <w:szCs w:val="24"/>
        </w:rPr>
        <w:t>concurs</w:t>
      </w:r>
      <w:r w:rsidRPr="001F49D0">
        <w:rPr>
          <w:rFonts w:asciiTheme="minorHAnsi" w:hAnsiTheme="minorHAnsi" w:cstheme="minorHAnsi"/>
          <w:szCs w:val="24"/>
        </w:rPr>
        <w:t>, the AO must either:</w:t>
      </w:r>
    </w:p>
    <w:p w14:paraId="66E5088E" w14:textId="77777777" w:rsidR="001F49D0" w:rsidRDefault="005F2DE6" w:rsidP="001F49D0">
      <w:pPr>
        <w:pStyle w:val="ListParagraph"/>
        <w:numPr>
          <w:ilvl w:val="2"/>
          <w:numId w:val="2"/>
        </w:numPr>
        <w:rPr>
          <w:rFonts w:asciiTheme="minorHAnsi" w:hAnsiTheme="minorHAnsi" w:cstheme="minorHAnsi"/>
          <w:szCs w:val="24"/>
        </w:rPr>
      </w:pPr>
      <w:r w:rsidRPr="001F49D0">
        <w:rPr>
          <w:rFonts w:asciiTheme="minorHAnsi" w:hAnsiTheme="minorHAnsi" w:cstheme="minorHAnsi"/>
          <w:szCs w:val="24"/>
        </w:rPr>
        <w:t>Close the Evaluation</w:t>
      </w:r>
    </w:p>
    <w:p w14:paraId="7B862299" w14:textId="77777777" w:rsidR="001F49D0" w:rsidRDefault="005F2DE6" w:rsidP="001F49D0">
      <w:pPr>
        <w:pStyle w:val="ListParagraph"/>
        <w:numPr>
          <w:ilvl w:val="2"/>
          <w:numId w:val="2"/>
        </w:numPr>
        <w:rPr>
          <w:rFonts w:asciiTheme="minorHAnsi" w:hAnsiTheme="minorHAnsi" w:cstheme="minorHAnsi"/>
          <w:szCs w:val="24"/>
        </w:rPr>
      </w:pPr>
      <w:r w:rsidRPr="001F49D0">
        <w:rPr>
          <w:rFonts w:asciiTheme="minorHAnsi" w:hAnsiTheme="minorHAnsi" w:cstheme="minorHAnsi"/>
          <w:szCs w:val="24"/>
        </w:rPr>
        <w:t>Modify and close Evaluation</w:t>
      </w:r>
    </w:p>
    <w:p w14:paraId="63EA40D0" w14:textId="77777777" w:rsidR="001F49D0" w:rsidRDefault="005F2DE6" w:rsidP="001F49D0">
      <w:pPr>
        <w:pStyle w:val="ListParagraph"/>
        <w:numPr>
          <w:ilvl w:val="1"/>
          <w:numId w:val="2"/>
        </w:numPr>
        <w:rPr>
          <w:rFonts w:asciiTheme="minorHAnsi" w:hAnsiTheme="minorHAnsi" w:cstheme="minorHAnsi"/>
          <w:szCs w:val="24"/>
        </w:rPr>
      </w:pPr>
      <w:r w:rsidRPr="001F49D0">
        <w:rPr>
          <w:rFonts w:asciiTheme="minorHAnsi" w:hAnsiTheme="minorHAnsi" w:cstheme="minorHAnsi"/>
          <w:szCs w:val="24"/>
        </w:rPr>
        <w:t xml:space="preserve">If the Contractor Rep </w:t>
      </w:r>
      <w:r w:rsidRPr="001F49D0">
        <w:rPr>
          <w:rFonts w:asciiTheme="minorHAnsi" w:hAnsiTheme="minorHAnsi" w:cstheme="minorHAnsi"/>
          <w:b/>
          <w:bCs/>
          <w:szCs w:val="24"/>
        </w:rPr>
        <w:t>does not</w:t>
      </w:r>
      <w:r w:rsidRPr="001F49D0">
        <w:rPr>
          <w:rFonts w:asciiTheme="minorHAnsi" w:hAnsiTheme="minorHAnsi" w:cstheme="minorHAnsi"/>
          <w:szCs w:val="24"/>
        </w:rPr>
        <w:t xml:space="preserve"> </w:t>
      </w:r>
      <w:r w:rsidRPr="001F49D0">
        <w:rPr>
          <w:rFonts w:asciiTheme="minorHAnsi" w:hAnsiTheme="minorHAnsi" w:cstheme="minorHAnsi"/>
          <w:b/>
          <w:bCs/>
          <w:szCs w:val="24"/>
        </w:rPr>
        <w:t>concur</w:t>
      </w:r>
      <w:r w:rsidRPr="001F49D0">
        <w:rPr>
          <w:rFonts w:asciiTheme="minorHAnsi" w:hAnsiTheme="minorHAnsi" w:cstheme="minorHAnsi"/>
          <w:szCs w:val="24"/>
        </w:rPr>
        <w:t>, the AO must either:</w:t>
      </w:r>
    </w:p>
    <w:p w14:paraId="2CC567DF" w14:textId="77777777" w:rsidR="001F49D0" w:rsidRDefault="005F2DE6" w:rsidP="001F49D0">
      <w:pPr>
        <w:pStyle w:val="ListParagraph"/>
        <w:numPr>
          <w:ilvl w:val="2"/>
          <w:numId w:val="2"/>
        </w:numPr>
        <w:rPr>
          <w:rFonts w:asciiTheme="minorHAnsi" w:hAnsiTheme="minorHAnsi" w:cstheme="minorHAnsi"/>
          <w:szCs w:val="24"/>
        </w:rPr>
      </w:pPr>
      <w:r w:rsidRPr="001F49D0">
        <w:rPr>
          <w:rFonts w:asciiTheme="minorHAnsi" w:hAnsiTheme="minorHAnsi" w:cstheme="minorHAnsi"/>
          <w:szCs w:val="24"/>
        </w:rPr>
        <w:t>Send the Evaluation to the RO (Evaluation Updated as Pending).</w:t>
      </w:r>
    </w:p>
    <w:p w14:paraId="2C2E969A" w14:textId="77777777" w:rsidR="005F2DE6" w:rsidRPr="001F49D0" w:rsidRDefault="005F2DE6" w:rsidP="001F49D0">
      <w:pPr>
        <w:pStyle w:val="ListParagraph"/>
        <w:numPr>
          <w:ilvl w:val="2"/>
          <w:numId w:val="2"/>
        </w:numPr>
        <w:rPr>
          <w:rFonts w:asciiTheme="minorHAnsi" w:hAnsiTheme="minorHAnsi" w:cstheme="minorHAnsi"/>
          <w:szCs w:val="24"/>
        </w:rPr>
      </w:pPr>
      <w:r w:rsidRPr="001F49D0">
        <w:rPr>
          <w:rFonts w:asciiTheme="minorHAnsi" w:hAnsiTheme="minorHAnsi" w:cstheme="minorHAnsi"/>
          <w:szCs w:val="24"/>
        </w:rPr>
        <w:t>Modify and Send the Evaluation to the RO (Evaluation Updated as Pending)</w:t>
      </w:r>
    </w:p>
    <w:p w14:paraId="12545B74" w14:textId="77777777" w:rsidR="005F2DE6" w:rsidRPr="0043425A" w:rsidRDefault="005F2DE6" w:rsidP="005F2DE6">
      <w:pPr>
        <w:jc w:val="center"/>
        <w:rPr>
          <w:rFonts w:asciiTheme="minorHAnsi" w:hAnsiTheme="minorHAnsi" w:cstheme="minorHAnsi"/>
          <w:szCs w:val="24"/>
        </w:rPr>
      </w:pPr>
      <w:r w:rsidRPr="0043425A">
        <w:rPr>
          <w:rFonts w:asciiTheme="minorHAnsi" w:hAnsiTheme="minorHAnsi" w:cstheme="minorHAnsi"/>
          <w:noProof/>
          <w:szCs w:val="24"/>
        </w:rPr>
        <w:drawing>
          <wp:inline distT="0" distB="0" distL="0" distR="0" wp14:anchorId="039CCD72" wp14:editId="31824483">
            <wp:extent cx="5334000" cy="2324100"/>
            <wp:effectExtent l="0" t="0" r="0" b="0"/>
            <wp:docPr id="12" name="Picture 12" descr="Important! 120-Days - The entire evaluation must be completed within 120-Days of the End of the Period of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Day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4000" cy="2324100"/>
                    </a:xfrm>
                    <a:prstGeom prst="rect">
                      <a:avLst/>
                    </a:prstGeom>
                  </pic:spPr>
                </pic:pic>
              </a:graphicData>
            </a:graphic>
          </wp:inline>
        </w:drawing>
      </w:r>
    </w:p>
    <w:p w14:paraId="49452BE2" w14:textId="77777777" w:rsidR="001F49D0" w:rsidRDefault="005F2DE6" w:rsidP="001F49D0">
      <w:pPr>
        <w:pStyle w:val="Heading1"/>
        <w:jc w:val="left"/>
        <w:rPr>
          <w:rFonts w:asciiTheme="minorHAnsi" w:hAnsiTheme="minorHAnsi" w:cstheme="minorHAnsi"/>
          <w:sz w:val="24"/>
          <w:szCs w:val="24"/>
        </w:rPr>
      </w:pPr>
      <w:bookmarkStart w:id="6" w:name="_Toc12272613"/>
      <w:bookmarkStart w:id="7" w:name="_Toc12272586"/>
      <w:r w:rsidRPr="0043425A">
        <w:rPr>
          <w:rFonts w:asciiTheme="minorHAnsi" w:hAnsiTheme="minorHAnsi" w:cstheme="minorHAnsi"/>
          <w:sz w:val="24"/>
          <w:szCs w:val="24"/>
        </w:rPr>
        <w:t>Alternate Focal Point (AFP)</w:t>
      </w:r>
    </w:p>
    <w:p w14:paraId="7DB16686" w14:textId="77777777" w:rsidR="001F49D0" w:rsidRPr="001F49D0" w:rsidRDefault="005F2DE6" w:rsidP="001F49D0">
      <w:pPr>
        <w:pStyle w:val="Heading1"/>
        <w:numPr>
          <w:ilvl w:val="0"/>
          <w:numId w:val="2"/>
        </w:numPr>
        <w:jc w:val="left"/>
        <w:rPr>
          <w:rFonts w:asciiTheme="minorHAnsi" w:hAnsiTheme="minorHAnsi" w:cstheme="minorHAnsi"/>
          <w:sz w:val="24"/>
          <w:szCs w:val="24"/>
        </w:rPr>
      </w:pPr>
      <w:r w:rsidRPr="001F49D0">
        <w:rPr>
          <w:rFonts w:asciiTheme="minorHAnsi" w:eastAsia="Times New Roman" w:hAnsiTheme="minorHAnsi" w:cstheme="minorHAnsi"/>
          <w:color w:val="000000"/>
          <w:sz w:val="24"/>
          <w:szCs w:val="24"/>
        </w:rPr>
        <w:t xml:space="preserve">Must be held by a </w:t>
      </w:r>
      <w:r w:rsidRPr="001F49D0">
        <w:rPr>
          <w:rStyle w:val="Strong"/>
          <w:rFonts w:asciiTheme="minorHAnsi" w:hAnsiTheme="minorHAnsi" w:cstheme="minorHAnsi"/>
          <w:sz w:val="24"/>
          <w:szCs w:val="24"/>
        </w:rPr>
        <w:t>federal employee (FTE)</w:t>
      </w:r>
      <w:r w:rsidRPr="001F49D0">
        <w:rPr>
          <w:rFonts w:asciiTheme="minorHAnsi" w:eastAsia="Times New Roman" w:hAnsiTheme="minorHAnsi" w:cstheme="minorHAnsi"/>
          <w:color w:val="000000"/>
          <w:szCs w:val="24"/>
        </w:rPr>
        <w:t>.</w:t>
      </w:r>
    </w:p>
    <w:p w14:paraId="19B71253" w14:textId="77777777" w:rsidR="001F49D0" w:rsidRPr="001F49D0" w:rsidRDefault="005F2DE6" w:rsidP="001F49D0">
      <w:pPr>
        <w:pStyle w:val="Heading1"/>
        <w:numPr>
          <w:ilvl w:val="0"/>
          <w:numId w:val="2"/>
        </w:numPr>
        <w:jc w:val="left"/>
        <w:rPr>
          <w:rStyle w:val="Strong"/>
          <w:rFonts w:asciiTheme="minorHAnsi" w:hAnsiTheme="minorHAnsi" w:cstheme="minorHAnsi"/>
          <w:b/>
          <w:bCs/>
          <w:sz w:val="24"/>
          <w:szCs w:val="24"/>
        </w:rPr>
      </w:pPr>
      <w:r w:rsidRPr="001F49D0">
        <w:rPr>
          <w:rStyle w:val="Strong"/>
          <w:rFonts w:asciiTheme="minorHAnsi" w:hAnsiTheme="minorHAnsi" w:cstheme="minorHAnsi"/>
          <w:b/>
          <w:sz w:val="24"/>
          <w:szCs w:val="24"/>
        </w:rPr>
        <w:t xml:space="preserve">See Focal Point Information – The AFP has the same authorities and system functionalities as the FP. </w:t>
      </w:r>
    </w:p>
    <w:p w14:paraId="1F46C682" w14:textId="77777777" w:rsidR="005F2DE6" w:rsidRPr="001F49D0" w:rsidRDefault="005F2DE6" w:rsidP="001F49D0">
      <w:pPr>
        <w:pStyle w:val="Heading1"/>
        <w:numPr>
          <w:ilvl w:val="0"/>
          <w:numId w:val="2"/>
        </w:numPr>
        <w:jc w:val="left"/>
        <w:rPr>
          <w:rFonts w:asciiTheme="minorHAnsi" w:hAnsiTheme="minorHAnsi" w:cstheme="minorHAnsi"/>
          <w:sz w:val="24"/>
          <w:szCs w:val="24"/>
        </w:rPr>
      </w:pPr>
      <w:r w:rsidRPr="001F49D0">
        <w:rPr>
          <w:rStyle w:val="Strong"/>
          <w:rFonts w:asciiTheme="minorHAnsi" w:hAnsiTheme="minorHAnsi" w:cstheme="minorHAnsi"/>
          <w:sz w:val="24"/>
          <w:szCs w:val="24"/>
        </w:rPr>
        <w:t>The Focal Point is responsible for the assignment of the Alternate Focal Point user role.</w:t>
      </w:r>
    </w:p>
    <w:p w14:paraId="793A2039" w14:textId="77777777"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 xml:space="preserve">The Focal Point / Alternate Focal Point roles are pivotal in the CPARS Workflow process.  Please make every effort to ensure that contract actions are registered within 30 Days of the Award Date; and that all user roles are assigned to </w:t>
      </w:r>
      <w:proofErr w:type="gramStart"/>
      <w:r w:rsidRPr="0043425A">
        <w:rPr>
          <w:rFonts w:asciiTheme="minorHAnsi" w:hAnsiTheme="minorHAnsi" w:cstheme="minorHAnsi"/>
          <w:szCs w:val="24"/>
        </w:rPr>
        <w:t>each and every</w:t>
      </w:r>
      <w:proofErr w:type="gramEnd"/>
      <w:r w:rsidRPr="0043425A">
        <w:rPr>
          <w:rFonts w:asciiTheme="minorHAnsi" w:hAnsiTheme="minorHAnsi" w:cstheme="minorHAnsi"/>
          <w:szCs w:val="24"/>
        </w:rPr>
        <w:t xml:space="preserve"> registered action.</w:t>
      </w:r>
    </w:p>
    <w:p w14:paraId="45F310FC" w14:textId="77777777" w:rsidR="005F2DE6" w:rsidRPr="0043425A" w:rsidRDefault="005F2DE6" w:rsidP="001F49D0">
      <w:pPr>
        <w:pStyle w:val="Heading1"/>
        <w:jc w:val="left"/>
        <w:rPr>
          <w:rFonts w:asciiTheme="minorHAnsi" w:hAnsiTheme="minorHAnsi" w:cstheme="minorHAnsi"/>
          <w:sz w:val="24"/>
          <w:szCs w:val="24"/>
        </w:rPr>
      </w:pPr>
      <w:r w:rsidRPr="0043425A">
        <w:rPr>
          <w:rFonts w:asciiTheme="minorHAnsi" w:hAnsiTheme="minorHAnsi" w:cstheme="minorHAnsi"/>
          <w:sz w:val="24"/>
          <w:szCs w:val="24"/>
        </w:rPr>
        <w:t>View Performance Access</w:t>
      </w:r>
      <w:bookmarkEnd w:id="6"/>
      <w:r w:rsidRPr="0043425A">
        <w:rPr>
          <w:rFonts w:asciiTheme="minorHAnsi" w:hAnsiTheme="minorHAnsi" w:cstheme="minorHAnsi"/>
          <w:sz w:val="24"/>
          <w:szCs w:val="24"/>
        </w:rPr>
        <w:t xml:space="preserve"> </w:t>
      </w:r>
    </w:p>
    <w:p w14:paraId="18DF6B24" w14:textId="77777777" w:rsidR="005F2DE6" w:rsidRPr="0043425A" w:rsidRDefault="005F2DE6" w:rsidP="005F2DE6">
      <w:pPr>
        <w:rPr>
          <w:rFonts w:asciiTheme="minorHAnsi" w:hAnsiTheme="minorHAnsi" w:cstheme="minorHAnsi"/>
          <w:szCs w:val="24"/>
        </w:rPr>
      </w:pPr>
      <w:r w:rsidRPr="0043425A">
        <w:rPr>
          <w:rStyle w:val="Strong"/>
          <w:rFonts w:asciiTheme="minorHAnsi" w:hAnsiTheme="minorHAnsi" w:cstheme="minorHAnsi"/>
          <w:szCs w:val="24"/>
        </w:rPr>
        <w:t>Federal Employees Only:</w:t>
      </w:r>
      <w:r w:rsidRPr="0043425A">
        <w:rPr>
          <w:rFonts w:asciiTheme="minorHAnsi" w:hAnsiTheme="minorHAnsi" w:cstheme="minorHAnsi"/>
          <w:szCs w:val="24"/>
        </w:rPr>
        <w:t xml:space="preserve"> View all Evaluations useable in Source Selection determinations.</w:t>
      </w:r>
    </w:p>
    <w:p w14:paraId="4E1E0484" w14:textId="77777777"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 xml:space="preserve">Go to </w:t>
      </w:r>
      <w:hyperlink r:id="rId37" w:history="1">
        <w:r w:rsidRPr="0043425A">
          <w:rPr>
            <w:rStyle w:val="Hyperlink"/>
            <w:rFonts w:asciiTheme="minorHAnsi" w:hAnsiTheme="minorHAnsi" w:cstheme="minorHAnsi"/>
            <w:szCs w:val="24"/>
          </w:rPr>
          <w:t>www.cpars.gov</w:t>
        </w:r>
      </w:hyperlink>
    </w:p>
    <w:p w14:paraId="70A01DE2" w14:textId="77777777"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lastRenderedPageBreak/>
        <w:t xml:space="preserve">Click on </w:t>
      </w:r>
      <w:r w:rsidRPr="0043425A">
        <w:rPr>
          <w:rStyle w:val="Strong"/>
          <w:rFonts w:asciiTheme="minorHAnsi" w:hAnsiTheme="minorHAnsi" w:cstheme="minorHAnsi"/>
          <w:szCs w:val="24"/>
        </w:rPr>
        <w:t>Access Info</w:t>
      </w:r>
      <w:r w:rsidRPr="0043425A">
        <w:rPr>
          <w:rFonts w:asciiTheme="minorHAnsi" w:hAnsiTheme="minorHAnsi" w:cstheme="minorHAnsi"/>
          <w:szCs w:val="24"/>
        </w:rPr>
        <w:t xml:space="preserve"> tab - </w:t>
      </w:r>
      <w:hyperlink r:id="rId38" w:history="1">
        <w:r w:rsidRPr="0043425A">
          <w:rPr>
            <w:rStyle w:val="Hyperlink"/>
            <w:rFonts w:asciiTheme="minorHAnsi" w:hAnsiTheme="minorHAnsi" w:cstheme="minorHAnsi"/>
            <w:szCs w:val="24"/>
          </w:rPr>
          <w:t>https://www.cpars.gov/userforms.htm</w:t>
        </w:r>
      </w:hyperlink>
    </w:p>
    <w:p w14:paraId="49A75073" w14:textId="4F2CECE0"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 xml:space="preserve">Scroll down the page until you see, </w:t>
      </w:r>
      <w:r w:rsidRPr="0043425A">
        <w:rPr>
          <w:rStyle w:val="Strong"/>
          <w:rFonts w:asciiTheme="minorHAnsi" w:hAnsiTheme="minorHAnsi" w:cstheme="minorHAnsi"/>
          <w:szCs w:val="24"/>
        </w:rPr>
        <w:t>Access</w:t>
      </w:r>
      <w:r w:rsidR="00671953">
        <w:rPr>
          <w:rStyle w:val="Strong"/>
          <w:rFonts w:asciiTheme="minorHAnsi" w:hAnsiTheme="minorHAnsi" w:cstheme="minorHAnsi"/>
          <w:szCs w:val="24"/>
        </w:rPr>
        <w:t xml:space="preserve"> </w:t>
      </w:r>
      <w:r w:rsidRPr="0043425A">
        <w:rPr>
          <w:rStyle w:val="Strong"/>
          <w:rFonts w:asciiTheme="minorHAnsi" w:hAnsiTheme="minorHAnsi" w:cstheme="minorHAnsi"/>
          <w:szCs w:val="24"/>
        </w:rPr>
        <w:t>(View Performance)</w:t>
      </w:r>
    </w:p>
    <w:p w14:paraId="32C6349A" w14:textId="326D9BFC"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Click on the link “</w:t>
      </w:r>
      <w:r w:rsidRPr="001D77B8">
        <w:rPr>
          <w:rFonts w:asciiTheme="minorHAnsi" w:hAnsiTheme="minorHAnsi" w:cstheme="minorHAnsi"/>
          <w:szCs w:val="24"/>
        </w:rPr>
        <w:t>Request Access</w:t>
      </w:r>
      <w:r w:rsidR="001D77B8" w:rsidRPr="001D77B8">
        <w:rPr>
          <w:rFonts w:asciiTheme="minorHAnsi" w:hAnsiTheme="minorHAnsi" w:cstheme="minorHAnsi"/>
          <w:szCs w:val="24"/>
        </w:rPr>
        <w:t xml:space="preserve"> </w:t>
      </w:r>
      <w:r w:rsidRPr="001D77B8">
        <w:rPr>
          <w:rFonts w:asciiTheme="minorHAnsi" w:hAnsiTheme="minorHAnsi" w:cstheme="minorHAnsi"/>
          <w:szCs w:val="24"/>
        </w:rPr>
        <w:t>(View Performance)</w:t>
      </w:r>
      <w:r w:rsidRPr="0043425A">
        <w:rPr>
          <w:rFonts w:asciiTheme="minorHAnsi" w:hAnsiTheme="minorHAnsi" w:cstheme="minorHAnsi"/>
          <w:szCs w:val="24"/>
        </w:rPr>
        <w:t>”</w:t>
      </w:r>
    </w:p>
    <w:p w14:paraId="78DCD634" w14:textId="77777777" w:rsidR="005F2DE6" w:rsidRPr="0043425A" w:rsidRDefault="005F2DE6" w:rsidP="005F2DE6">
      <w:pPr>
        <w:rPr>
          <w:rFonts w:asciiTheme="minorHAnsi" w:hAnsiTheme="minorHAnsi" w:cstheme="minorHAnsi"/>
          <w:szCs w:val="24"/>
        </w:rPr>
      </w:pPr>
      <w:r w:rsidRPr="0043425A">
        <w:rPr>
          <w:rFonts w:asciiTheme="minorHAnsi" w:hAnsiTheme="minorHAnsi" w:cstheme="minorHAnsi"/>
          <w:szCs w:val="24"/>
        </w:rPr>
        <w:t>Follow the prompts</w:t>
      </w:r>
    </w:p>
    <w:p w14:paraId="4B127610" w14:textId="77777777" w:rsidR="005F2DE6" w:rsidRPr="0043425A" w:rsidRDefault="005F2DE6" w:rsidP="001F49D0">
      <w:pPr>
        <w:pStyle w:val="Heading1"/>
        <w:jc w:val="left"/>
        <w:rPr>
          <w:rFonts w:asciiTheme="minorHAnsi" w:hAnsiTheme="minorHAnsi" w:cstheme="minorHAnsi"/>
          <w:sz w:val="24"/>
          <w:szCs w:val="24"/>
        </w:rPr>
      </w:pPr>
      <w:bookmarkStart w:id="8" w:name="_Toc12272614"/>
      <w:r w:rsidRPr="0043425A">
        <w:rPr>
          <w:rFonts w:asciiTheme="minorHAnsi" w:hAnsiTheme="minorHAnsi" w:cstheme="minorHAnsi"/>
          <w:sz w:val="24"/>
          <w:szCs w:val="24"/>
        </w:rPr>
        <w:t>CPARS Resources</w:t>
      </w:r>
      <w:bookmarkEnd w:id="8"/>
    </w:p>
    <w:p w14:paraId="1E481051" w14:textId="77777777" w:rsidR="005F2DE6" w:rsidRPr="0000261D" w:rsidRDefault="005F2DE6" w:rsidP="005F2DE6">
      <w:pPr>
        <w:pStyle w:val="ListParagraph"/>
        <w:numPr>
          <w:ilvl w:val="0"/>
          <w:numId w:val="4"/>
        </w:numPr>
        <w:spacing w:before="120" w:after="160" w:line="176" w:lineRule="atLeast"/>
        <w:contextualSpacing w:val="0"/>
        <w:rPr>
          <w:rStyle w:val="Hyperlink"/>
        </w:rPr>
      </w:pPr>
      <w:r w:rsidRPr="0043425A">
        <w:rPr>
          <w:rStyle w:val="ms-rtefontsize-3"/>
          <w:rFonts w:asciiTheme="minorHAnsi" w:hAnsiTheme="minorHAnsi" w:cstheme="minorHAnsi"/>
          <w:color w:val="000000"/>
          <w:szCs w:val="24"/>
        </w:rPr>
        <w:t>CPARS Guidance - </w:t>
      </w:r>
      <w:hyperlink r:id="rId39" w:history="1">
        <w:r w:rsidRPr="0000261D">
          <w:rPr>
            <w:rStyle w:val="Hyperlink"/>
            <w:rFonts w:asciiTheme="minorHAnsi" w:hAnsiTheme="minorHAnsi" w:cstheme="minorHAnsi"/>
            <w:szCs w:val="24"/>
          </w:rPr>
          <w:t>https://www.cpars.gov/refmatl.htm</w:t>
        </w:r>
      </w:hyperlink>
    </w:p>
    <w:p w14:paraId="4DA6B85C" w14:textId="77777777" w:rsidR="005F2DE6" w:rsidRPr="0043425A" w:rsidRDefault="005F2DE6" w:rsidP="005F2DE6">
      <w:pPr>
        <w:pStyle w:val="ListParagraph"/>
        <w:numPr>
          <w:ilvl w:val="0"/>
          <w:numId w:val="4"/>
        </w:numPr>
        <w:spacing w:before="120" w:after="160" w:line="176" w:lineRule="atLeast"/>
        <w:contextualSpacing w:val="0"/>
        <w:rPr>
          <w:rStyle w:val="Hyperlink"/>
          <w:rFonts w:asciiTheme="minorHAnsi" w:hAnsiTheme="minorHAnsi" w:cstheme="minorHAnsi"/>
          <w:color w:val="444444"/>
          <w:szCs w:val="24"/>
        </w:rPr>
      </w:pPr>
      <w:r w:rsidRPr="0043425A">
        <w:rPr>
          <w:rStyle w:val="ms-rtefontsize-3"/>
          <w:rFonts w:asciiTheme="minorHAnsi" w:hAnsiTheme="minorHAnsi" w:cstheme="minorHAnsi"/>
          <w:color w:val="000000"/>
          <w:szCs w:val="24"/>
        </w:rPr>
        <w:t>CPARS Help Desk - </w:t>
      </w:r>
      <w:hyperlink r:id="rId40" w:history="1">
        <w:r w:rsidRPr="0000261D">
          <w:rPr>
            <w:rStyle w:val="Hyperlink"/>
            <w:rFonts w:asciiTheme="minorHAnsi" w:hAnsiTheme="minorHAnsi" w:cstheme="minorHAnsi"/>
            <w:szCs w:val="24"/>
          </w:rPr>
          <w:t>webptsmh@navy.mil</w:t>
        </w:r>
      </w:hyperlink>
    </w:p>
    <w:p w14:paraId="0FFB7F76" w14:textId="77777777" w:rsidR="005F2DE6" w:rsidRPr="0043425A" w:rsidRDefault="005F2DE6" w:rsidP="005F2DE6">
      <w:pPr>
        <w:pStyle w:val="ListParagraph"/>
        <w:numPr>
          <w:ilvl w:val="0"/>
          <w:numId w:val="4"/>
        </w:numPr>
        <w:spacing w:before="120" w:after="160" w:line="176" w:lineRule="atLeast"/>
        <w:contextualSpacing w:val="0"/>
        <w:rPr>
          <w:rFonts w:asciiTheme="minorHAnsi" w:hAnsiTheme="minorHAnsi" w:cstheme="minorHAnsi"/>
          <w:color w:val="444444"/>
          <w:szCs w:val="24"/>
        </w:rPr>
      </w:pPr>
      <w:r w:rsidRPr="0043425A">
        <w:rPr>
          <w:rStyle w:val="ms-rtefontsize-3"/>
          <w:rFonts w:asciiTheme="minorHAnsi" w:hAnsiTheme="minorHAnsi" w:cstheme="minorHAnsi"/>
          <w:color w:val="000000"/>
          <w:szCs w:val="24"/>
        </w:rPr>
        <w:t>​CPARS Training - </w:t>
      </w:r>
      <w:hyperlink r:id="rId41" w:history="1">
        <w:r w:rsidRPr="0000261D">
          <w:rPr>
            <w:rStyle w:val="Hyperlink"/>
            <w:rFonts w:asciiTheme="minorHAnsi" w:hAnsiTheme="minorHAnsi" w:cstheme="minorHAnsi"/>
            <w:szCs w:val="24"/>
          </w:rPr>
          <w:t>https://www.cpars.gov/webtrain.htm</w:t>
        </w:r>
      </w:hyperlink>
    </w:p>
    <w:p w14:paraId="3E5583C5" w14:textId="77777777" w:rsidR="005F2DE6" w:rsidRPr="0043425A" w:rsidRDefault="005F2DE6" w:rsidP="005F2DE6">
      <w:pPr>
        <w:pStyle w:val="ListParagraph"/>
        <w:numPr>
          <w:ilvl w:val="0"/>
          <w:numId w:val="4"/>
        </w:numPr>
        <w:spacing w:before="120" w:after="160" w:line="176" w:lineRule="atLeast"/>
        <w:contextualSpacing w:val="0"/>
        <w:rPr>
          <w:rFonts w:asciiTheme="minorHAnsi" w:hAnsiTheme="minorHAnsi" w:cstheme="minorHAnsi"/>
          <w:color w:val="444444"/>
          <w:szCs w:val="24"/>
        </w:rPr>
      </w:pPr>
      <w:r w:rsidRPr="0043425A">
        <w:rPr>
          <w:rStyle w:val="ms-rtefontsize-3"/>
          <w:rFonts w:asciiTheme="minorHAnsi" w:hAnsiTheme="minorHAnsi" w:cstheme="minorHAnsi"/>
          <w:color w:val="000000"/>
          <w:szCs w:val="24"/>
        </w:rPr>
        <w:t>CPARS Website - </w:t>
      </w:r>
      <w:hyperlink r:id="rId42" w:history="1">
        <w:r w:rsidRPr="0000261D">
          <w:rPr>
            <w:rStyle w:val="Hyperlink"/>
            <w:rFonts w:asciiTheme="minorHAnsi" w:hAnsiTheme="minorHAnsi" w:cstheme="minorHAnsi"/>
            <w:szCs w:val="24"/>
          </w:rPr>
          <w:t>https://www.cpars.gov/</w:t>
        </w:r>
      </w:hyperlink>
    </w:p>
    <w:p w14:paraId="71ACF55B" w14:textId="77777777" w:rsidR="005F2DE6" w:rsidRPr="0043425A" w:rsidRDefault="005F2DE6" w:rsidP="005F2DE6">
      <w:pPr>
        <w:pStyle w:val="ListParagraph"/>
        <w:numPr>
          <w:ilvl w:val="0"/>
          <w:numId w:val="4"/>
        </w:numPr>
        <w:spacing w:before="120" w:after="160" w:line="176" w:lineRule="atLeast"/>
        <w:contextualSpacing w:val="0"/>
        <w:rPr>
          <w:rStyle w:val="Hyperlink"/>
          <w:rFonts w:asciiTheme="minorHAnsi" w:hAnsiTheme="minorHAnsi" w:cstheme="minorHAnsi"/>
          <w:color w:val="663399"/>
          <w:szCs w:val="24"/>
        </w:rPr>
      </w:pPr>
      <w:r w:rsidRPr="0043425A">
        <w:rPr>
          <w:rStyle w:val="ms-rtefontsize-3"/>
          <w:rFonts w:asciiTheme="minorHAnsi" w:hAnsiTheme="minorHAnsi" w:cstheme="minorHAnsi"/>
          <w:color w:val="000000"/>
          <w:szCs w:val="24"/>
        </w:rPr>
        <w:t>NIH CPARS Help Desk –</w:t>
      </w:r>
      <w:r w:rsidRPr="0043425A">
        <w:rPr>
          <w:rFonts w:asciiTheme="minorHAnsi" w:hAnsiTheme="minorHAnsi" w:cstheme="minorHAnsi"/>
          <w:color w:val="444444"/>
          <w:szCs w:val="24"/>
        </w:rPr>
        <w:t xml:space="preserve"> </w:t>
      </w:r>
      <w:hyperlink r:id="rId43" w:history="1">
        <w:r w:rsidRPr="0000261D">
          <w:rPr>
            <w:rStyle w:val="Hyperlink"/>
            <w:rFonts w:asciiTheme="minorHAnsi" w:hAnsiTheme="minorHAnsi" w:cstheme="minorHAnsi"/>
            <w:szCs w:val="24"/>
          </w:rPr>
          <w:t>cpars@mail.nih.gov</w:t>
        </w:r>
      </w:hyperlink>
      <w:r w:rsidRPr="0043425A">
        <w:rPr>
          <w:rStyle w:val="Hyperlink"/>
          <w:rFonts w:asciiTheme="minorHAnsi" w:hAnsiTheme="minorHAnsi" w:cstheme="minorHAnsi"/>
          <w:color w:val="663399"/>
          <w:szCs w:val="24"/>
        </w:rPr>
        <w:t xml:space="preserve"> </w:t>
      </w:r>
    </w:p>
    <w:p w14:paraId="134D8744" w14:textId="77777777" w:rsidR="005F2DE6" w:rsidRPr="0043425A" w:rsidRDefault="005F2DE6" w:rsidP="005F2DE6">
      <w:pPr>
        <w:pStyle w:val="ListParagraph"/>
        <w:numPr>
          <w:ilvl w:val="0"/>
          <w:numId w:val="4"/>
        </w:numPr>
        <w:spacing w:before="120" w:after="160" w:line="176" w:lineRule="atLeast"/>
        <w:contextualSpacing w:val="0"/>
        <w:rPr>
          <w:rFonts w:asciiTheme="minorHAnsi" w:eastAsiaTheme="majorEastAsia" w:hAnsiTheme="minorHAnsi" w:cstheme="minorHAnsi"/>
          <w:color w:val="00419E"/>
          <w:szCs w:val="24"/>
        </w:rPr>
      </w:pPr>
      <w:r w:rsidRPr="0043425A">
        <w:rPr>
          <w:rStyle w:val="ms-rtefontsize-3"/>
          <w:rFonts w:asciiTheme="minorHAnsi" w:hAnsiTheme="minorHAnsi" w:cstheme="minorHAnsi"/>
          <w:color w:val="000000"/>
          <w:szCs w:val="24"/>
        </w:rPr>
        <w:t>NIH CPARS SharePoint Site - </w:t>
      </w:r>
      <w:hyperlink r:id="rId44" w:history="1">
        <w:r w:rsidRPr="0000261D">
          <w:rPr>
            <w:rStyle w:val="Hyperlink"/>
            <w:rFonts w:asciiTheme="minorHAnsi" w:hAnsiTheme="minorHAnsi" w:cstheme="minorHAnsi"/>
            <w:szCs w:val="24"/>
          </w:rPr>
          <w:t>https://oalmsps.od.nih.gov/DDO/CDMP/CPARS/SitePages/Home.aspx</w:t>
        </w:r>
      </w:hyperlink>
      <w:r w:rsidRPr="0043425A">
        <w:rPr>
          <w:rStyle w:val="ms-rtefontsize-3"/>
          <w:rFonts w:asciiTheme="minorHAnsi" w:hAnsiTheme="minorHAnsi" w:cstheme="minorHAnsi"/>
          <w:color w:val="000000"/>
          <w:szCs w:val="24"/>
        </w:rPr>
        <w:t>​</w:t>
      </w:r>
      <w:bookmarkEnd w:id="7"/>
    </w:p>
    <w:p w14:paraId="204B0210" w14:textId="77777777" w:rsidR="005F2DE6" w:rsidRDefault="005F2DE6" w:rsidP="005F2DE6">
      <w:pPr>
        <w:spacing w:line="240" w:lineRule="auto"/>
        <w:contextualSpacing/>
        <w:rPr>
          <w:rFonts w:eastAsia="Calibri" w:cs="Times New Roman"/>
          <w:noProof/>
          <w:sz w:val="28"/>
          <w:szCs w:val="28"/>
        </w:rPr>
      </w:pPr>
    </w:p>
    <w:p w14:paraId="6E498ACE" w14:textId="2B43C563" w:rsidR="00466E0D" w:rsidRPr="00466E0D" w:rsidRDefault="00466E0D" w:rsidP="00466E0D">
      <w:pPr>
        <w:pStyle w:val="Heading1"/>
        <w:jc w:val="left"/>
      </w:pPr>
      <w:r>
        <w:t>Use NIH-Wide Contracts for Your End of Fiscal Year Needs</w:t>
      </w:r>
    </w:p>
    <w:p w14:paraId="5185FFBD" w14:textId="77777777" w:rsidR="00466E0D" w:rsidRPr="00466E0D" w:rsidRDefault="00466E0D" w:rsidP="00466E0D">
      <w:pPr>
        <w:tabs>
          <w:tab w:val="num" w:pos="720"/>
        </w:tabs>
        <w:rPr>
          <w:rFonts w:asciiTheme="minorHAnsi" w:hAnsiTheme="minorHAnsi" w:cstheme="minorHAnsi"/>
          <w:szCs w:val="24"/>
        </w:rPr>
      </w:pPr>
      <w:r w:rsidRPr="00466E0D">
        <w:rPr>
          <w:rFonts w:asciiTheme="minorHAnsi" w:hAnsiTheme="minorHAnsi" w:cstheme="minorHAnsi"/>
          <w:szCs w:val="24"/>
        </w:rPr>
        <w:t xml:space="preserve">As we approach the end of FY year 2019, the </w:t>
      </w:r>
      <w:r w:rsidRPr="00466E0D">
        <w:rPr>
          <w:rFonts w:asciiTheme="minorHAnsi" w:hAnsiTheme="minorHAnsi" w:cstheme="minorHAnsi"/>
          <w:noProof/>
          <w:szCs w:val="24"/>
        </w:rPr>
        <w:t>Office of Logistics and Acquisition Operation (OLAO)</w:t>
      </w:r>
      <w:r w:rsidRPr="00466E0D">
        <w:rPr>
          <w:rFonts w:asciiTheme="minorHAnsi" w:hAnsiTheme="minorHAnsi" w:cstheme="minorHAnsi"/>
          <w:szCs w:val="24"/>
        </w:rPr>
        <w:t xml:space="preserve"> is proud to offer the NIH community the NIH Wide IDIQ contracts to acquire services and the GDC Supply center for lab and office supplies.  OLAO considers itself as NIH’s premier central services organization for logistics, property acquisition services.  The NIH wide contracts are administered by the Special Contracting Team in OLAO. These IDIQ contracts provide the NIH with a streamlined mechanism for the acquisition of services and supplies from a pool of highly qualified pre- approved vendors.</w:t>
      </w:r>
    </w:p>
    <w:p w14:paraId="1CB0D5A5" w14:textId="77777777" w:rsidR="00466E0D" w:rsidRPr="00466E0D" w:rsidRDefault="00466E0D" w:rsidP="00466E0D">
      <w:pPr>
        <w:tabs>
          <w:tab w:val="num" w:pos="720"/>
          <w:tab w:val="num" w:pos="1440"/>
        </w:tabs>
        <w:rPr>
          <w:rFonts w:asciiTheme="minorHAnsi" w:hAnsiTheme="minorHAnsi" w:cstheme="minorHAnsi"/>
          <w:szCs w:val="24"/>
        </w:rPr>
      </w:pPr>
      <w:r w:rsidRPr="00466E0D">
        <w:rPr>
          <w:rFonts w:asciiTheme="minorHAnsi" w:hAnsiTheme="minorHAnsi" w:cstheme="minorHAnsi"/>
          <w:szCs w:val="24"/>
        </w:rPr>
        <w:t>During the busy fourth quarter, using these contracting mechanisms are very beneficial especially for procurements that must be awarded by September 30</w:t>
      </w:r>
      <w:r w:rsidRPr="00466E0D">
        <w:rPr>
          <w:rFonts w:asciiTheme="minorHAnsi" w:hAnsiTheme="minorHAnsi" w:cstheme="minorHAnsi"/>
          <w:szCs w:val="24"/>
          <w:vertAlign w:val="superscript"/>
        </w:rPr>
        <w:t>th</w:t>
      </w:r>
      <w:r w:rsidRPr="00466E0D">
        <w:rPr>
          <w:rFonts w:asciiTheme="minorHAnsi" w:hAnsiTheme="minorHAnsi" w:cstheme="minorHAnsi"/>
          <w:szCs w:val="24"/>
        </w:rPr>
        <w:t>.</w:t>
      </w:r>
    </w:p>
    <w:p w14:paraId="4700E891" w14:textId="77777777" w:rsidR="00466E0D" w:rsidRPr="00466E0D" w:rsidRDefault="00466E0D" w:rsidP="00466E0D">
      <w:pPr>
        <w:tabs>
          <w:tab w:val="num" w:pos="720"/>
          <w:tab w:val="num" w:pos="1440"/>
        </w:tabs>
        <w:rPr>
          <w:rFonts w:asciiTheme="minorHAnsi" w:hAnsiTheme="minorHAnsi" w:cstheme="minorHAnsi"/>
          <w:szCs w:val="24"/>
        </w:rPr>
      </w:pPr>
      <w:r w:rsidRPr="00466E0D">
        <w:rPr>
          <w:rFonts w:asciiTheme="minorHAnsi" w:hAnsiTheme="minorHAnsi" w:cstheme="minorHAnsi"/>
          <w:szCs w:val="24"/>
        </w:rPr>
        <w:t>Benefits of utilizing NIH Wide contracts and Supply center.</w:t>
      </w:r>
    </w:p>
    <w:p w14:paraId="08E6E369" w14:textId="77777777" w:rsidR="00466E0D" w:rsidRPr="00466E0D" w:rsidRDefault="00466E0D" w:rsidP="00466E0D">
      <w:pPr>
        <w:numPr>
          <w:ilvl w:val="0"/>
          <w:numId w:val="7"/>
        </w:numPr>
        <w:spacing w:after="160" w:line="259" w:lineRule="auto"/>
        <w:rPr>
          <w:rFonts w:asciiTheme="minorHAnsi" w:hAnsiTheme="minorHAnsi" w:cstheme="minorHAnsi"/>
          <w:szCs w:val="24"/>
        </w:rPr>
      </w:pPr>
      <w:r w:rsidRPr="00466E0D">
        <w:rPr>
          <w:rFonts w:asciiTheme="minorHAnsi" w:hAnsiTheme="minorHAnsi" w:cstheme="minorHAnsi"/>
          <w:szCs w:val="24"/>
        </w:rPr>
        <w:t>Provide cost-effective services through competition among a vetted group of qualified vendors.</w:t>
      </w:r>
    </w:p>
    <w:p w14:paraId="1CAEF9BB" w14:textId="77777777" w:rsidR="00466E0D" w:rsidRPr="00466E0D" w:rsidRDefault="00466E0D" w:rsidP="00466E0D">
      <w:pPr>
        <w:numPr>
          <w:ilvl w:val="0"/>
          <w:numId w:val="7"/>
        </w:numPr>
        <w:spacing w:after="160" w:line="259" w:lineRule="auto"/>
        <w:rPr>
          <w:rFonts w:asciiTheme="minorHAnsi" w:hAnsiTheme="minorHAnsi" w:cstheme="minorHAnsi"/>
          <w:szCs w:val="24"/>
        </w:rPr>
      </w:pPr>
      <w:r w:rsidRPr="00466E0D">
        <w:rPr>
          <w:rFonts w:asciiTheme="minorHAnsi" w:hAnsiTheme="minorHAnsi" w:cstheme="minorHAnsi"/>
          <w:szCs w:val="24"/>
        </w:rPr>
        <w:t>Support NIH-wide strategic sourcing efficiencies</w:t>
      </w:r>
    </w:p>
    <w:p w14:paraId="7FAF3274" w14:textId="77777777" w:rsidR="00466E0D" w:rsidRPr="00466E0D" w:rsidRDefault="00466E0D" w:rsidP="00466E0D">
      <w:pPr>
        <w:numPr>
          <w:ilvl w:val="0"/>
          <w:numId w:val="7"/>
        </w:numPr>
        <w:spacing w:after="160" w:line="259" w:lineRule="auto"/>
        <w:rPr>
          <w:rFonts w:asciiTheme="minorHAnsi" w:hAnsiTheme="minorHAnsi" w:cstheme="minorHAnsi"/>
          <w:szCs w:val="24"/>
        </w:rPr>
      </w:pPr>
      <w:r w:rsidRPr="00466E0D">
        <w:rPr>
          <w:rFonts w:asciiTheme="minorHAnsi" w:hAnsiTheme="minorHAnsi" w:cstheme="minorHAnsi"/>
          <w:szCs w:val="24"/>
        </w:rPr>
        <w:t>Promote the small business goals set forth by NIH (FY19 SB goals is 28%)</w:t>
      </w:r>
    </w:p>
    <w:p w14:paraId="7F2F7CD4" w14:textId="77777777" w:rsidR="00466E0D" w:rsidRPr="00466E0D" w:rsidRDefault="00466E0D" w:rsidP="00466E0D">
      <w:pPr>
        <w:numPr>
          <w:ilvl w:val="0"/>
          <w:numId w:val="7"/>
        </w:numPr>
        <w:spacing w:after="0" w:line="240" w:lineRule="auto"/>
        <w:rPr>
          <w:rFonts w:asciiTheme="minorHAnsi" w:hAnsiTheme="minorHAnsi" w:cstheme="minorHAnsi"/>
          <w:szCs w:val="24"/>
        </w:rPr>
      </w:pPr>
      <w:r w:rsidRPr="00466E0D">
        <w:rPr>
          <w:rFonts w:asciiTheme="minorHAnsi" w:hAnsiTheme="minorHAnsi" w:cstheme="minorHAnsi"/>
          <w:szCs w:val="24"/>
        </w:rPr>
        <w:lastRenderedPageBreak/>
        <w:t>Available for use by all of NIH</w:t>
      </w:r>
    </w:p>
    <w:p w14:paraId="5BD4D869" w14:textId="77777777" w:rsidR="00466E0D" w:rsidRPr="00466E0D" w:rsidRDefault="00466E0D" w:rsidP="00466E0D">
      <w:pPr>
        <w:pStyle w:val="ListParagraph"/>
        <w:numPr>
          <w:ilvl w:val="0"/>
          <w:numId w:val="7"/>
        </w:numPr>
        <w:tabs>
          <w:tab w:val="num" w:pos="1440"/>
        </w:tabs>
        <w:spacing w:after="160" w:line="259" w:lineRule="auto"/>
        <w:rPr>
          <w:rFonts w:asciiTheme="minorHAnsi" w:hAnsiTheme="minorHAnsi" w:cstheme="minorHAnsi"/>
          <w:szCs w:val="24"/>
        </w:rPr>
      </w:pPr>
      <w:r w:rsidRPr="00466E0D">
        <w:rPr>
          <w:rFonts w:asciiTheme="minorHAnsi" w:hAnsiTheme="minorHAnsi" w:cstheme="minorHAnsi"/>
          <w:szCs w:val="24"/>
        </w:rPr>
        <w:t>Reduce the risk of protest (task orders less than $10M are not subject to protest)</w:t>
      </w:r>
    </w:p>
    <w:p w14:paraId="0F7F16AE"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 xml:space="preserve">Websites are available for each contract providing resources that includes: </w:t>
      </w:r>
    </w:p>
    <w:p w14:paraId="1995BF38"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Base Contract SOW; Standard Operating Procedures (SOP); Frequently Asked Questions (FAQ)</w:t>
      </w:r>
    </w:p>
    <w:p w14:paraId="20D58F0D"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Fact Sheet; Sample Task Order Documents; Contract support email accounts have been set up to receive questions. Trainings are available for each contract upon request; YouTube channel with “How To” videos.</w:t>
      </w:r>
    </w:p>
    <w:p w14:paraId="4410B43C" w14:textId="61F833B1" w:rsidR="00466E0D" w:rsidRPr="00466E0D" w:rsidRDefault="00466E0D" w:rsidP="00466E0D">
      <w:pPr>
        <w:rPr>
          <w:rFonts w:asciiTheme="minorHAnsi" w:hAnsiTheme="minorHAnsi" w:cstheme="minorHAnsi"/>
          <w:szCs w:val="24"/>
        </w:rPr>
      </w:pPr>
      <w:r w:rsidRPr="00466E0D">
        <w:rPr>
          <w:rFonts w:asciiTheme="minorHAnsi" w:hAnsiTheme="minorHAnsi" w:cstheme="minorHAnsi"/>
          <w:noProof/>
          <w:szCs w:val="24"/>
        </w:rPr>
        <w:drawing>
          <wp:inline distT="0" distB="0" distL="0" distR="0" wp14:anchorId="1C995254" wp14:editId="46C44964">
            <wp:extent cx="2761558" cy="950311"/>
            <wp:effectExtent l="0" t="0" r="0" b="0"/>
            <wp:docPr id="3" name="Picture 2" descr="LTASC II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TASC II Logo">
                      <a:hlinkClick r:id="rId45"/>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1558" cy="950311"/>
                    </a:xfrm>
                    <a:prstGeom prst="rect">
                      <a:avLst/>
                    </a:prstGeom>
                  </pic:spPr>
                </pic:pic>
              </a:graphicData>
            </a:graphic>
          </wp:inline>
        </w:drawing>
      </w:r>
    </w:p>
    <w:p w14:paraId="4FDF4873"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 xml:space="preserve">LTASC II is available to obtain commercially provided administrative services on a long-term (minimum of 12 months) basis from 17 small business vendors.  </w:t>
      </w:r>
      <w:hyperlink r:id="rId47" w:history="1">
        <w:r w:rsidRPr="00466E0D">
          <w:rPr>
            <w:rStyle w:val="Hyperlink"/>
            <w:rFonts w:asciiTheme="minorHAnsi" w:hAnsiTheme="minorHAnsi" w:cstheme="minorHAnsi"/>
            <w:szCs w:val="24"/>
          </w:rPr>
          <w:t>http://ltasc.od.nih.gov/</w:t>
        </w:r>
      </w:hyperlink>
      <w:r w:rsidRPr="00466E0D">
        <w:rPr>
          <w:rFonts w:asciiTheme="minorHAnsi" w:hAnsiTheme="minorHAnsi" w:cstheme="minorHAnsi"/>
          <w:szCs w:val="24"/>
        </w:rPr>
        <w:t xml:space="preserve"> </w:t>
      </w:r>
    </w:p>
    <w:p w14:paraId="43EB37C6" w14:textId="77777777" w:rsidR="00466E0D" w:rsidRPr="00466E0D" w:rsidRDefault="00466E0D" w:rsidP="00466E0D">
      <w:pPr>
        <w:rPr>
          <w:rFonts w:asciiTheme="minorHAnsi" w:hAnsiTheme="minorHAnsi" w:cstheme="minorHAnsi"/>
          <w:szCs w:val="24"/>
        </w:rPr>
      </w:pPr>
    </w:p>
    <w:p w14:paraId="31C77229" w14:textId="77777777" w:rsidR="00466E0D" w:rsidRPr="00466E0D" w:rsidRDefault="00466E0D" w:rsidP="00466E0D">
      <w:pPr>
        <w:rPr>
          <w:rFonts w:asciiTheme="minorHAnsi" w:hAnsiTheme="minorHAnsi" w:cstheme="minorHAnsi"/>
          <w:szCs w:val="24"/>
        </w:rPr>
      </w:pPr>
      <w:r w:rsidRPr="00466E0D">
        <w:rPr>
          <w:rFonts w:asciiTheme="minorHAnsi" w:hAnsiTheme="minorHAnsi" w:cstheme="minorHAnsi"/>
          <w:noProof/>
          <w:szCs w:val="24"/>
        </w:rPr>
        <w:drawing>
          <wp:inline distT="0" distB="0" distL="0" distR="0" wp14:anchorId="0863061B" wp14:editId="3E03F030">
            <wp:extent cx="2855743" cy="960567"/>
            <wp:effectExtent l="0" t="0" r="0" b="0"/>
            <wp:docPr id="4" name="Picture 2" descr="NIHCATS III Conference, Administrative, and Travel Services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855743" cy="960567"/>
                    </a:xfrm>
                    <a:prstGeom prst="rect">
                      <a:avLst/>
                    </a:prstGeom>
                    <a:noFill/>
                    <a:ln w="9525">
                      <a:noFill/>
                      <a:miter lim="800000"/>
                      <a:headEnd/>
                      <a:tailEnd/>
                    </a:ln>
                  </pic:spPr>
                </pic:pic>
              </a:graphicData>
            </a:graphic>
          </wp:inline>
        </w:drawing>
      </w:r>
    </w:p>
    <w:p w14:paraId="4B735075"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 xml:space="preserve">NIHCATS III is available to provide a wide range of meeting, conference, and travel support services related to conferences from 13 possible small business vendors.  The NIHCATS III contracts are available to the NIH and other Federal agencies for services performed both in the United States and abroad. </w:t>
      </w:r>
      <w:hyperlink r:id="rId50" w:history="1">
        <w:r w:rsidRPr="00466E0D">
          <w:rPr>
            <w:rStyle w:val="Hyperlink"/>
            <w:rFonts w:asciiTheme="minorHAnsi" w:hAnsiTheme="minorHAnsi" w:cstheme="minorHAnsi"/>
            <w:szCs w:val="24"/>
          </w:rPr>
          <w:t>http://nihcats.olao.od.nih.gov/</w:t>
        </w:r>
      </w:hyperlink>
      <w:r w:rsidRPr="00466E0D">
        <w:rPr>
          <w:rFonts w:asciiTheme="minorHAnsi" w:hAnsiTheme="minorHAnsi" w:cstheme="minorHAnsi"/>
          <w:szCs w:val="24"/>
        </w:rPr>
        <w:t xml:space="preserve"> </w:t>
      </w:r>
    </w:p>
    <w:p w14:paraId="21E26FDF" w14:textId="77777777" w:rsidR="00466E0D" w:rsidRPr="00466E0D" w:rsidRDefault="00466E0D" w:rsidP="00466E0D">
      <w:pPr>
        <w:rPr>
          <w:rFonts w:asciiTheme="minorHAnsi" w:hAnsiTheme="minorHAnsi" w:cstheme="minorHAnsi"/>
          <w:szCs w:val="24"/>
        </w:rPr>
      </w:pPr>
    </w:p>
    <w:p w14:paraId="06EA8FEA" w14:textId="77777777" w:rsidR="00466E0D" w:rsidRPr="00466E0D" w:rsidRDefault="00466E0D" w:rsidP="00466E0D">
      <w:pPr>
        <w:rPr>
          <w:rFonts w:asciiTheme="minorHAnsi" w:hAnsiTheme="minorHAnsi" w:cstheme="minorHAnsi"/>
          <w:szCs w:val="24"/>
        </w:rPr>
      </w:pPr>
      <w:r w:rsidRPr="00466E0D">
        <w:rPr>
          <w:rFonts w:asciiTheme="minorHAnsi" w:hAnsiTheme="minorHAnsi" w:cstheme="minorHAnsi"/>
          <w:noProof/>
          <w:szCs w:val="24"/>
        </w:rPr>
        <w:drawing>
          <wp:inline distT="0" distB="0" distL="0" distR="0" wp14:anchorId="158CF406" wp14:editId="073FC456">
            <wp:extent cx="2213511" cy="1097280"/>
            <wp:effectExtent l="0" t="0" r="0" b="0"/>
            <wp:docPr id="7" name="Picture 2" descr="PICS II Public Information and Communication Services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213511" cy="10972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9FE0A0"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 xml:space="preserve">PICS II is available to provide services from 10 small businesses in the areas of media, communication, and information dissemination and technology by purchasing superior communication goods and services, especially where this expertise does not exist in-house. </w:t>
      </w:r>
      <w:hyperlink r:id="rId53" w:history="1">
        <w:r w:rsidRPr="00466E0D">
          <w:rPr>
            <w:rStyle w:val="Hyperlink"/>
            <w:rFonts w:asciiTheme="minorHAnsi" w:hAnsiTheme="minorHAnsi" w:cstheme="minorHAnsi"/>
            <w:szCs w:val="24"/>
          </w:rPr>
          <w:t>http://pics.olao.od.nih.gov/</w:t>
        </w:r>
      </w:hyperlink>
      <w:r w:rsidRPr="00466E0D">
        <w:rPr>
          <w:rFonts w:asciiTheme="minorHAnsi" w:hAnsiTheme="minorHAnsi" w:cstheme="minorHAnsi"/>
          <w:szCs w:val="24"/>
        </w:rPr>
        <w:t xml:space="preserve"> </w:t>
      </w:r>
    </w:p>
    <w:p w14:paraId="42794D71" w14:textId="77777777" w:rsidR="00466E0D" w:rsidRPr="00466E0D" w:rsidRDefault="00466E0D" w:rsidP="00466E0D">
      <w:pPr>
        <w:rPr>
          <w:rFonts w:asciiTheme="minorHAnsi" w:hAnsiTheme="minorHAnsi" w:cstheme="minorHAnsi"/>
          <w:szCs w:val="24"/>
        </w:rPr>
      </w:pPr>
    </w:p>
    <w:p w14:paraId="429CB06F" w14:textId="77777777" w:rsidR="00466E0D" w:rsidRPr="00466E0D" w:rsidRDefault="00466E0D" w:rsidP="00466E0D">
      <w:pPr>
        <w:rPr>
          <w:rFonts w:asciiTheme="minorHAnsi" w:hAnsiTheme="minorHAnsi" w:cstheme="minorHAnsi"/>
          <w:szCs w:val="24"/>
        </w:rPr>
      </w:pPr>
      <w:r w:rsidRPr="00466E0D">
        <w:rPr>
          <w:rFonts w:asciiTheme="minorHAnsi" w:hAnsiTheme="minorHAnsi" w:cstheme="minorHAnsi"/>
          <w:noProof/>
          <w:szCs w:val="24"/>
        </w:rPr>
        <w:drawing>
          <wp:inline distT="0" distB="0" distL="0" distR="0" wp14:anchorId="7F22BF17" wp14:editId="03F8AEE1">
            <wp:extent cx="2761558" cy="949514"/>
            <wp:effectExtent l="0" t="0" r="1270" b="3175"/>
            <wp:docPr id="2" name="Picture 1" descr="NIHBPSS II Business and Professional Support Services II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IHBPSS II Business and Professional Support Services II Logo">
                      <a:hlinkClick r:id="rId54"/>
                    </pic:cNvPr>
                    <pic:cNvPicPr>
                      <a:picLocks noChangeAspect="1"/>
                    </pic:cNvPicPr>
                  </pic:nvPicPr>
                  <pic:blipFill rotWithShape="1">
                    <a:blip r:embed="rId55" cstate="print">
                      <a:extLst>
                        <a:ext uri="{28A0092B-C50C-407E-A947-70E740481C1C}">
                          <a14:useLocalDpi xmlns:a14="http://schemas.microsoft.com/office/drawing/2010/main" val="0"/>
                        </a:ext>
                      </a:extLst>
                    </a:blip>
                    <a:srcRect b="41935"/>
                    <a:stretch/>
                  </pic:blipFill>
                  <pic:spPr>
                    <a:xfrm>
                      <a:off x="0" y="0"/>
                      <a:ext cx="2761558" cy="949514"/>
                    </a:xfrm>
                    <a:prstGeom prst="rect">
                      <a:avLst/>
                    </a:prstGeom>
                  </pic:spPr>
                </pic:pic>
              </a:graphicData>
            </a:graphic>
          </wp:inline>
        </w:drawing>
      </w:r>
    </w:p>
    <w:p w14:paraId="1D13BC5E" w14:textId="77777777" w:rsidR="00466E0D" w:rsidRPr="00466E0D" w:rsidRDefault="00466E0D" w:rsidP="00466E0D">
      <w:pPr>
        <w:spacing w:after="160" w:line="259" w:lineRule="auto"/>
        <w:rPr>
          <w:rFonts w:asciiTheme="minorHAnsi" w:hAnsiTheme="minorHAnsi" w:cstheme="minorHAnsi"/>
          <w:szCs w:val="24"/>
        </w:rPr>
      </w:pPr>
      <w:r w:rsidRPr="00466E0D">
        <w:rPr>
          <w:rFonts w:asciiTheme="minorHAnsi" w:hAnsiTheme="minorHAnsi" w:cstheme="minorHAnsi"/>
          <w:szCs w:val="24"/>
        </w:rPr>
        <w:t xml:space="preserve">The NIHBPSS II Contract is available to purchase business operation and professional support services from 14 possible vendors. </w:t>
      </w:r>
      <w:hyperlink r:id="rId56" w:history="1">
        <w:r w:rsidRPr="00466E0D">
          <w:rPr>
            <w:rStyle w:val="Hyperlink"/>
            <w:rFonts w:asciiTheme="minorHAnsi" w:hAnsiTheme="minorHAnsi" w:cstheme="minorHAnsi"/>
            <w:szCs w:val="24"/>
          </w:rPr>
          <w:t>http://nihbpss.olao.od.nih.gov/</w:t>
        </w:r>
      </w:hyperlink>
      <w:r w:rsidRPr="00466E0D">
        <w:rPr>
          <w:rFonts w:asciiTheme="minorHAnsi" w:hAnsiTheme="minorHAnsi" w:cstheme="minorHAnsi"/>
          <w:szCs w:val="24"/>
        </w:rPr>
        <w:t xml:space="preserve"> </w:t>
      </w:r>
    </w:p>
    <w:p w14:paraId="1A6D50DD" w14:textId="77777777" w:rsidR="00466E0D" w:rsidRPr="00466E0D" w:rsidRDefault="00466E0D" w:rsidP="00466E0D">
      <w:pPr>
        <w:rPr>
          <w:rFonts w:asciiTheme="minorHAnsi" w:hAnsiTheme="minorHAnsi" w:cstheme="minorHAnsi"/>
          <w:szCs w:val="24"/>
        </w:rPr>
      </w:pPr>
    </w:p>
    <w:p w14:paraId="6EC3FFE1" w14:textId="77777777" w:rsidR="00466E0D" w:rsidRPr="00466E0D" w:rsidRDefault="00466E0D" w:rsidP="00466E0D">
      <w:pPr>
        <w:rPr>
          <w:rFonts w:asciiTheme="minorHAnsi" w:hAnsiTheme="minorHAnsi" w:cstheme="minorHAnsi"/>
          <w:szCs w:val="24"/>
        </w:rPr>
      </w:pPr>
      <w:r w:rsidRPr="00466E0D">
        <w:rPr>
          <w:rFonts w:asciiTheme="minorHAnsi" w:hAnsiTheme="minorHAnsi" w:cstheme="minorHAnsi"/>
          <w:noProof/>
          <w:szCs w:val="24"/>
        </w:rPr>
        <w:drawing>
          <wp:inline distT="0" distB="0" distL="0" distR="0" wp14:anchorId="5CCE0FA0" wp14:editId="5B856B33">
            <wp:extent cx="1205857" cy="1066800"/>
            <wp:effectExtent l="0" t="0" r="0" b="0"/>
            <wp:docPr id="1" name="Picture 1" descr="NIH Supply Center Log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nihsc1.od.nih.gov/sites/default/files/NIH_Supply_Center.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0185" cy="1097169"/>
                    </a:xfrm>
                    <a:prstGeom prst="rect">
                      <a:avLst/>
                    </a:prstGeom>
                    <a:noFill/>
                    <a:ln>
                      <a:noFill/>
                    </a:ln>
                  </pic:spPr>
                </pic:pic>
              </a:graphicData>
            </a:graphic>
          </wp:inline>
        </w:drawing>
      </w:r>
    </w:p>
    <w:p w14:paraId="703C5385" w14:textId="77777777" w:rsidR="00466E0D" w:rsidRPr="00466E0D" w:rsidRDefault="00466E0D" w:rsidP="00466E0D">
      <w:pPr>
        <w:rPr>
          <w:rFonts w:asciiTheme="minorHAnsi" w:hAnsiTheme="minorHAnsi" w:cstheme="minorHAnsi"/>
          <w:szCs w:val="24"/>
        </w:rPr>
      </w:pPr>
      <w:r w:rsidRPr="00466E0D">
        <w:rPr>
          <w:rFonts w:asciiTheme="minorHAnsi" w:hAnsiTheme="minorHAnsi" w:cstheme="minorHAnsi"/>
          <w:color w:val="4E4E50"/>
          <w:szCs w:val="24"/>
          <w:shd w:val="clear" w:color="auto" w:fill="FFFFFF"/>
        </w:rPr>
        <w:t>The NIH Supply Center is the Agency´s internal, not-for-profit, FAR and ISO 9001-2015 certified and approved first source for providing lab, medical and office supplies. Online orders can be placed through NBS, POTS and the Online Product Catalog (Coming Soon) </w:t>
      </w:r>
      <w:hyperlink r:id="rId59" w:history="1">
        <w:r w:rsidRPr="00466E0D">
          <w:rPr>
            <w:rStyle w:val="Hyperlink"/>
            <w:rFonts w:asciiTheme="minorHAnsi" w:hAnsiTheme="minorHAnsi" w:cstheme="minorHAnsi"/>
            <w:color w:val="326499"/>
            <w:szCs w:val="24"/>
            <w:shd w:val="clear" w:color="auto" w:fill="FFFFFF"/>
          </w:rPr>
          <w:t>https://nihsccatalog.od.nih.gov</w:t>
        </w:r>
      </w:hyperlink>
      <w:r w:rsidRPr="00466E0D">
        <w:rPr>
          <w:rFonts w:asciiTheme="minorHAnsi" w:hAnsiTheme="minorHAnsi" w:cstheme="minorHAnsi"/>
          <w:color w:val="4E4E50"/>
          <w:szCs w:val="24"/>
          <w:shd w:val="clear" w:color="auto" w:fill="FFFFFF"/>
        </w:rPr>
        <w:t> or by visiting our two stores located in buildings 10 and 31.</w:t>
      </w:r>
    </w:p>
    <w:p w14:paraId="555D0E06" w14:textId="77777777" w:rsidR="00466E0D" w:rsidRPr="00466E0D" w:rsidRDefault="00045811" w:rsidP="00466E0D">
      <w:pPr>
        <w:rPr>
          <w:rFonts w:asciiTheme="minorHAnsi" w:hAnsiTheme="minorHAnsi" w:cstheme="minorHAnsi"/>
          <w:szCs w:val="24"/>
        </w:rPr>
      </w:pPr>
      <w:hyperlink r:id="rId60" w:history="1">
        <w:r w:rsidR="00466E0D" w:rsidRPr="00466E0D">
          <w:rPr>
            <w:rStyle w:val="Hyperlink"/>
            <w:rFonts w:asciiTheme="minorHAnsi" w:hAnsiTheme="minorHAnsi" w:cstheme="minorHAnsi"/>
            <w:szCs w:val="24"/>
          </w:rPr>
          <w:t>https://nihsc1.od.nih.gov/</w:t>
        </w:r>
      </w:hyperlink>
      <w:r w:rsidR="00466E0D" w:rsidRPr="00466E0D">
        <w:rPr>
          <w:rFonts w:asciiTheme="minorHAnsi" w:hAnsiTheme="minorHAnsi" w:cstheme="minorHAnsi"/>
          <w:szCs w:val="24"/>
        </w:rPr>
        <w:t xml:space="preserve"> </w:t>
      </w:r>
    </w:p>
    <w:p w14:paraId="56E4A4F6" w14:textId="4C21171C" w:rsidR="00466E0D" w:rsidRPr="00466E0D" w:rsidRDefault="00466E0D" w:rsidP="00466E0D">
      <w:pPr>
        <w:rPr>
          <w:rFonts w:asciiTheme="minorHAnsi" w:hAnsiTheme="minorHAnsi" w:cstheme="minorHAnsi"/>
          <w:szCs w:val="24"/>
        </w:rPr>
      </w:pPr>
      <w:r w:rsidRPr="00466E0D">
        <w:rPr>
          <w:rFonts w:asciiTheme="minorHAnsi" w:hAnsiTheme="minorHAnsi" w:cstheme="minorHAnsi"/>
          <w:szCs w:val="24"/>
        </w:rPr>
        <w:t>For further information please contact Sharmaine Fagan-Kerr, Branch Chief, Special Contracting Team</w:t>
      </w:r>
      <w:r>
        <w:rPr>
          <w:rFonts w:asciiTheme="minorHAnsi" w:hAnsiTheme="minorHAnsi" w:cstheme="minorHAnsi"/>
          <w:szCs w:val="24"/>
        </w:rPr>
        <w:t xml:space="preserve">, at either </w:t>
      </w:r>
      <w:r w:rsidRPr="00466E0D">
        <w:rPr>
          <w:rFonts w:asciiTheme="minorHAnsi" w:hAnsiTheme="minorHAnsi" w:cstheme="minorHAnsi"/>
          <w:b/>
          <w:noProof/>
          <w:szCs w:val="24"/>
        </w:rPr>
        <w:t>301-594-3744</w:t>
      </w:r>
      <w:r>
        <w:rPr>
          <w:rFonts w:asciiTheme="minorHAnsi" w:hAnsiTheme="minorHAnsi" w:cstheme="minorHAnsi"/>
          <w:b/>
          <w:noProof/>
          <w:szCs w:val="24"/>
        </w:rPr>
        <w:t xml:space="preserve"> </w:t>
      </w:r>
      <w:r>
        <w:rPr>
          <w:rFonts w:asciiTheme="minorHAnsi" w:hAnsiTheme="minorHAnsi" w:cstheme="minorHAnsi"/>
          <w:bCs/>
          <w:noProof/>
          <w:szCs w:val="24"/>
        </w:rPr>
        <w:t>or at</w:t>
      </w:r>
      <w:r w:rsidRPr="00466E0D">
        <w:rPr>
          <w:rFonts w:asciiTheme="minorHAnsi" w:hAnsiTheme="minorHAnsi" w:cstheme="minorHAnsi"/>
          <w:b/>
          <w:noProof/>
          <w:szCs w:val="24"/>
        </w:rPr>
        <w:t xml:space="preserve"> </w:t>
      </w:r>
      <w:hyperlink r:id="rId61" w:history="1">
        <w:r w:rsidRPr="00466E0D">
          <w:rPr>
            <w:rStyle w:val="Hyperlink"/>
            <w:rFonts w:asciiTheme="minorHAnsi" w:hAnsiTheme="minorHAnsi" w:cstheme="minorHAnsi"/>
            <w:noProof/>
            <w:szCs w:val="24"/>
          </w:rPr>
          <w:t>sharmaine.fagan-kerr@nih.gov</w:t>
        </w:r>
      </w:hyperlink>
      <w:r>
        <w:rPr>
          <w:rFonts w:ascii="Bradley Hand ITC" w:hAnsi="Bradley Hand ITC"/>
          <w:b/>
          <w:noProof/>
          <w:szCs w:val="24"/>
        </w:rPr>
        <w:t xml:space="preserve"> .</w:t>
      </w:r>
    </w:p>
    <w:p w14:paraId="663D8D8B" w14:textId="77777777" w:rsidR="005F2DE6" w:rsidRDefault="005F2DE6" w:rsidP="005F2DE6">
      <w:pPr>
        <w:spacing w:line="240" w:lineRule="auto"/>
        <w:contextualSpacing/>
        <w:rPr>
          <w:rFonts w:eastAsia="Calibri" w:cs="Times New Roman"/>
          <w:noProof/>
          <w:sz w:val="28"/>
          <w:szCs w:val="28"/>
        </w:rPr>
      </w:pPr>
    </w:p>
    <w:p w14:paraId="626C01EF" w14:textId="77777777" w:rsidR="00480F16" w:rsidRPr="00473AD0" w:rsidRDefault="00480F16" w:rsidP="00480F16">
      <w:pPr>
        <w:keepNext/>
        <w:keepLines/>
        <w:spacing w:before="360" w:after="120" w:line="240" w:lineRule="auto"/>
        <w:outlineLvl w:val="0"/>
        <w:rPr>
          <w:rFonts w:ascii="Arial" w:hAnsi="Arial" w:cstheme="majorBidi"/>
          <w:b/>
          <w:bCs/>
          <w:caps/>
          <w:spacing w:val="4"/>
          <w:sz w:val="32"/>
          <w:szCs w:val="28"/>
        </w:rPr>
      </w:pPr>
      <w:r w:rsidRPr="00473AD0">
        <w:rPr>
          <w:rFonts w:ascii="Arial" w:hAnsi="Arial" w:cstheme="majorBidi"/>
          <w:b/>
          <w:bCs/>
          <w:caps/>
          <w:spacing w:val="4"/>
          <w:sz w:val="32"/>
          <w:szCs w:val="28"/>
        </w:rPr>
        <w:t>Recap Corner</w:t>
      </w:r>
    </w:p>
    <w:p w14:paraId="64931200" w14:textId="77777777" w:rsidR="00480F16" w:rsidRPr="00473AD0" w:rsidRDefault="00480F16" w:rsidP="00480F16">
      <w:pPr>
        <w:spacing w:after="120" w:line="240" w:lineRule="auto"/>
        <w:rPr>
          <w:rFonts w:eastAsia="Calibri"/>
        </w:rPr>
      </w:pPr>
      <w:r w:rsidRPr="00473AD0">
        <w:rPr>
          <w:rFonts w:eastAsia="Calibri"/>
        </w:rPr>
        <w:t>Below is a recap of recent OALM communications to the NIH acquisition workforce.</w:t>
      </w:r>
    </w:p>
    <w:tbl>
      <w:tblPr>
        <w:tblStyle w:val="TableGrid"/>
        <w:tblW w:w="10885" w:type="dxa"/>
        <w:tblInd w:w="-725" w:type="dxa"/>
        <w:tblLayout w:type="fixed"/>
        <w:tblLook w:val="04A0" w:firstRow="1" w:lastRow="0" w:firstColumn="1" w:lastColumn="0" w:noHBand="0" w:noVBand="1"/>
      </w:tblPr>
      <w:tblGrid>
        <w:gridCol w:w="890"/>
        <w:gridCol w:w="3510"/>
        <w:gridCol w:w="1350"/>
        <w:gridCol w:w="5135"/>
      </w:tblGrid>
      <w:tr w:rsidR="00480F16" w:rsidRPr="00473AD0" w14:paraId="480D605E" w14:textId="77777777" w:rsidTr="006F74E9">
        <w:trPr>
          <w:trHeight w:val="310"/>
        </w:trPr>
        <w:tc>
          <w:tcPr>
            <w:tcW w:w="890" w:type="dxa"/>
            <w:noWrap/>
            <w:hideMark/>
          </w:tcPr>
          <w:p w14:paraId="79268494" w14:textId="77777777" w:rsidR="00480F16" w:rsidRPr="00473AD0" w:rsidRDefault="00480F16" w:rsidP="006F74E9">
            <w:pPr>
              <w:spacing w:after="120"/>
            </w:pPr>
            <w:r w:rsidRPr="00473AD0">
              <w:t>ID</w:t>
            </w:r>
          </w:p>
        </w:tc>
        <w:tc>
          <w:tcPr>
            <w:tcW w:w="3510" w:type="dxa"/>
            <w:noWrap/>
            <w:hideMark/>
          </w:tcPr>
          <w:p w14:paraId="55B92843" w14:textId="77777777" w:rsidR="00480F16" w:rsidRPr="00473AD0" w:rsidRDefault="00480F16" w:rsidP="006F74E9">
            <w:pPr>
              <w:spacing w:after="120"/>
            </w:pPr>
            <w:r w:rsidRPr="00473AD0">
              <w:t>Title</w:t>
            </w:r>
          </w:p>
        </w:tc>
        <w:tc>
          <w:tcPr>
            <w:tcW w:w="1350" w:type="dxa"/>
            <w:noWrap/>
            <w:hideMark/>
          </w:tcPr>
          <w:p w14:paraId="3B4A6DFA" w14:textId="77777777" w:rsidR="00480F16" w:rsidRPr="00473AD0" w:rsidRDefault="00480F16" w:rsidP="006F74E9">
            <w:pPr>
              <w:spacing w:after="120"/>
            </w:pPr>
            <w:r w:rsidRPr="00473AD0">
              <w:t>Date</w:t>
            </w:r>
          </w:p>
        </w:tc>
        <w:tc>
          <w:tcPr>
            <w:tcW w:w="5135" w:type="dxa"/>
          </w:tcPr>
          <w:p w14:paraId="3169EF48" w14:textId="77777777" w:rsidR="00480F16" w:rsidRPr="00473AD0" w:rsidRDefault="00480F16" w:rsidP="006F74E9">
            <w:pPr>
              <w:spacing w:after="120"/>
            </w:pPr>
            <w:r w:rsidRPr="00473AD0">
              <w:tab/>
              <w:t>Purpose</w:t>
            </w:r>
          </w:p>
        </w:tc>
      </w:tr>
      <w:tr w:rsidR="00480F16" w:rsidRPr="00473AD0" w14:paraId="2CE57556" w14:textId="77777777" w:rsidTr="006F74E9">
        <w:trPr>
          <w:trHeight w:val="580"/>
        </w:trPr>
        <w:tc>
          <w:tcPr>
            <w:tcW w:w="890" w:type="dxa"/>
            <w:noWrap/>
            <w:hideMark/>
          </w:tcPr>
          <w:p w14:paraId="4436CD5D" w14:textId="77777777" w:rsidR="00480F16" w:rsidRPr="00473AD0" w:rsidRDefault="00480F16" w:rsidP="006F74E9">
            <w:pPr>
              <w:spacing w:after="120"/>
            </w:pPr>
            <w:r w:rsidRPr="00473AD0">
              <w:t>19-</w:t>
            </w:r>
            <w:r>
              <w:t>37</w:t>
            </w:r>
          </w:p>
        </w:tc>
        <w:tc>
          <w:tcPr>
            <w:tcW w:w="3510" w:type="dxa"/>
            <w:noWrap/>
            <w:hideMark/>
          </w:tcPr>
          <w:p w14:paraId="0571531D" w14:textId="77777777" w:rsidR="00480F16" w:rsidRPr="00473AD0" w:rsidRDefault="00480F16" w:rsidP="006F74E9">
            <w:pPr>
              <w:spacing w:after="120"/>
            </w:pPr>
            <w:r w:rsidRPr="009647ED">
              <w:t>FY 2014 Canceling Year Lines</w:t>
            </w:r>
          </w:p>
        </w:tc>
        <w:tc>
          <w:tcPr>
            <w:tcW w:w="1350" w:type="dxa"/>
            <w:noWrap/>
          </w:tcPr>
          <w:p w14:paraId="678E2958" w14:textId="77777777" w:rsidR="00480F16" w:rsidRPr="00473AD0" w:rsidRDefault="00480F16" w:rsidP="006F74E9">
            <w:pPr>
              <w:spacing w:after="120"/>
            </w:pPr>
            <w:r>
              <w:t>5/13/2019</w:t>
            </w:r>
          </w:p>
        </w:tc>
        <w:tc>
          <w:tcPr>
            <w:tcW w:w="5135" w:type="dxa"/>
          </w:tcPr>
          <w:p w14:paraId="53D4FC72" w14:textId="77777777" w:rsidR="00480F16" w:rsidRPr="00473AD0" w:rsidRDefault="00480F16" w:rsidP="006F74E9">
            <w:pPr>
              <w:spacing w:after="120"/>
            </w:pPr>
            <w:r>
              <w:t xml:space="preserve">Provide update on canceling </w:t>
            </w:r>
            <w:proofErr w:type="gramStart"/>
            <w:r>
              <w:t>2014 year</w:t>
            </w:r>
            <w:proofErr w:type="gramEnd"/>
            <w:r>
              <w:t xml:space="preserve"> lines</w:t>
            </w:r>
          </w:p>
        </w:tc>
      </w:tr>
      <w:tr w:rsidR="00480F16" w:rsidRPr="00473AD0" w14:paraId="407EFA5A" w14:textId="77777777" w:rsidTr="006F74E9">
        <w:trPr>
          <w:trHeight w:val="1727"/>
        </w:trPr>
        <w:tc>
          <w:tcPr>
            <w:tcW w:w="890" w:type="dxa"/>
            <w:noWrap/>
            <w:hideMark/>
          </w:tcPr>
          <w:p w14:paraId="79D32880" w14:textId="77777777" w:rsidR="00480F16" w:rsidRPr="00473AD0" w:rsidRDefault="00480F16" w:rsidP="006F74E9">
            <w:pPr>
              <w:spacing w:after="120"/>
            </w:pPr>
            <w:r w:rsidRPr="00473AD0">
              <w:lastRenderedPageBreak/>
              <w:t>19-</w:t>
            </w:r>
            <w:r>
              <w:t>3</w:t>
            </w:r>
            <w:r w:rsidRPr="00473AD0">
              <w:t>8</w:t>
            </w:r>
          </w:p>
        </w:tc>
        <w:tc>
          <w:tcPr>
            <w:tcW w:w="3510" w:type="dxa"/>
            <w:noWrap/>
            <w:hideMark/>
          </w:tcPr>
          <w:p w14:paraId="34C5A28C" w14:textId="77777777" w:rsidR="00480F16" w:rsidRPr="00047A91" w:rsidRDefault="00480F16" w:rsidP="006F74E9">
            <w:pPr>
              <w:spacing w:after="120"/>
              <w:jc w:val="left"/>
              <w:rPr>
                <w:rFonts w:cs="Times New Roman"/>
                <w:szCs w:val="24"/>
              </w:rPr>
            </w:pPr>
            <w:proofErr w:type="spellStart"/>
            <w:r w:rsidRPr="00047A91">
              <w:rPr>
                <w:rFonts w:cs="Times New Roman"/>
                <w:color w:val="000000"/>
                <w:szCs w:val="24"/>
              </w:rPr>
              <w:t>FedDataCheck</w:t>
            </w:r>
            <w:proofErr w:type="spellEnd"/>
            <w:r w:rsidRPr="00047A91">
              <w:rPr>
                <w:rFonts w:cs="Times New Roman"/>
                <w:color w:val="000000"/>
                <w:szCs w:val="24"/>
              </w:rPr>
              <w:t xml:space="preserve"> Webinar - Miscoding the new FPDS-NG Item 6T - Inherently Governmental Functions</w:t>
            </w:r>
          </w:p>
        </w:tc>
        <w:tc>
          <w:tcPr>
            <w:tcW w:w="1350" w:type="dxa"/>
            <w:noWrap/>
          </w:tcPr>
          <w:p w14:paraId="1CF9AC01" w14:textId="77777777" w:rsidR="00480F16" w:rsidRPr="00473AD0" w:rsidRDefault="00480F16" w:rsidP="006F74E9">
            <w:pPr>
              <w:spacing w:after="120"/>
            </w:pPr>
            <w:r>
              <w:t>5/14/2019</w:t>
            </w:r>
          </w:p>
        </w:tc>
        <w:tc>
          <w:tcPr>
            <w:tcW w:w="5135" w:type="dxa"/>
          </w:tcPr>
          <w:p w14:paraId="31485F5B" w14:textId="77777777" w:rsidR="00480F16" w:rsidRPr="00473AD0" w:rsidRDefault="00480F16" w:rsidP="006F74E9">
            <w:pPr>
              <w:spacing w:after="120"/>
              <w:jc w:val="left"/>
            </w:pPr>
            <w:proofErr w:type="spellStart"/>
            <w:r w:rsidRPr="00047A91">
              <w:t>FedDataCheck</w:t>
            </w:r>
            <w:proofErr w:type="spellEnd"/>
            <w:r w:rsidRPr="00047A91">
              <w:t xml:space="preserve"> (FDC) Alert 141 identifies actions where FPDS Item 6T Inherently Governmental Functions (IGF) and Item 8A Product or Service Code (PSC) conflict. Item 6T Inherently Governmental Functions is only required on actions with a PSC as a ‘Service’ (PSCs which begin with an “ALPHA”). The number of FY19 actions by ICs is listed below.</w:t>
            </w:r>
          </w:p>
        </w:tc>
      </w:tr>
      <w:tr w:rsidR="00480F16" w:rsidRPr="00473AD0" w14:paraId="4EA35A47" w14:textId="77777777" w:rsidTr="006F74E9">
        <w:trPr>
          <w:trHeight w:val="755"/>
        </w:trPr>
        <w:tc>
          <w:tcPr>
            <w:tcW w:w="890" w:type="dxa"/>
            <w:noWrap/>
            <w:hideMark/>
          </w:tcPr>
          <w:p w14:paraId="625735CB" w14:textId="77777777" w:rsidR="00480F16" w:rsidRPr="00473AD0" w:rsidRDefault="00480F16" w:rsidP="006F74E9">
            <w:pPr>
              <w:spacing w:after="120"/>
            </w:pPr>
            <w:r w:rsidRPr="00473AD0">
              <w:t>19-</w:t>
            </w:r>
            <w:r>
              <w:t>3</w:t>
            </w:r>
            <w:r w:rsidRPr="00473AD0">
              <w:t>9</w:t>
            </w:r>
          </w:p>
        </w:tc>
        <w:tc>
          <w:tcPr>
            <w:tcW w:w="3510" w:type="dxa"/>
            <w:noWrap/>
            <w:hideMark/>
          </w:tcPr>
          <w:p w14:paraId="46B7AA8D" w14:textId="77777777" w:rsidR="00480F16" w:rsidRPr="00013D34" w:rsidRDefault="00480F16" w:rsidP="006F74E9">
            <w:pPr>
              <w:spacing w:after="120"/>
              <w:jc w:val="left"/>
            </w:pPr>
            <w:r w:rsidRPr="00013D34">
              <w:t xml:space="preserve">NEW SharePoint Site for DCIS, CPARS, and </w:t>
            </w:r>
            <w:proofErr w:type="spellStart"/>
            <w:r w:rsidRPr="00013D34">
              <w:t>FedDataCheck</w:t>
            </w:r>
            <w:proofErr w:type="spellEnd"/>
            <w:r w:rsidRPr="00013D34">
              <w:t xml:space="preserve"> - </w:t>
            </w:r>
          </w:p>
          <w:p w14:paraId="0F16BC17" w14:textId="77777777" w:rsidR="00480F16" w:rsidRPr="00473AD0" w:rsidRDefault="00480F16" w:rsidP="006F74E9">
            <w:pPr>
              <w:spacing w:after="120"/>
              <w:jc w:val="left"/>
            </w:pPr>
          </w:p>
        </w:tc>
        <w:tc>
          <w:tcPr>
            <w:tcW w:w="1350" w:type="dxa"/>
            <w:noWrap/>
          </w:tcPr>
          <w:p w14:paraId="763A822A" w14:textId="77777777" w:rsidR="00480F16" w:rsidRPr="00473AD0" w:rsidRDefault="00480F16" w:rsidP="006F74E9">
            <w:pPr>
              <w:spacing w:after="120"/>
            </w:pPr>
            <w:r>
              <w:t>5/14/2019</w:t>
            </w:r>
          </w:p>
        </w:tc>
        <w:tc>
          <w:tcPr>
            <w:tcW w:w="5135" w:type="dxa"/>
          </w:tcPr>
          <w:p w14:paraId="3DA06DDC" w14:textId="77777777" w:rsidR="00480F16" w:rsidRPr="00473AD0" w:rsidRDefault="00480F16" w:rsidP="006F74E9">
            <w:pPr>
              <w:spacing w:after="120"/>
            </w:pPr>
            <w:r>
              <w:t xml:space="preserve">Provide New SharePoint Site for DCIS, CPAR, and </w:t>
            </w:r>
            <w:proofErr w:type="spellStart"/>
            <w:r>
              <w:t>FedDataCheck</w:t>
            </w:r>
            <w:proofErr w:type="spellEnd"/>
          </w:p>
        </w:tc>
      </w:tr>
      <w:tr w:rsidR="00480F16" w:rsidRPr="00473AD0" w14:paraId="76FEC9E0" w14:textId="77777777" w:rsidTr="006F74E9">
        <w:trPr>
          <w:trHeight w:val="290"/>
        </w:trPr>
        <w:tc>
          <w:tcPr>
            <w:tcW w:w="890" w:type="dxa"/>
            <w:noWrap/>
            <w:hideMark/>
          </w:tcPr>
          <w:p w14:paraId="6BCB28F6" w14:textId="77777777" w:rsidR="00480F16" w:rsidRPr="00473AD0" w:rsidRDefault="00480F16" w:rsidP="006F74E9">
            <w:pPr>
              <w:spacing w:after="120"/>
            </w:pPr>
            <w:r w:rsidRPr="00473AD0">
              <w:t>19-</w:t>
            </w:r>
            <w:r>
              <w:t>4</w:t>
            </w:r>
            <w:r w:rsidRPr="00473AD0">
              <w:t>0</w:t>
            </w:r>
          </w:p>
        </w:tc>
        <w:tc>
          <w:tcPr>
            <w:tcW w:w="3510" w:type="dxa"/>
            <w:noWrap/>
            <w:hideMark/>
          </w:tcPr>
          <w:p w14:paraId="6BEF5708" w14:textId="77777777" w:rsidR="00480F16" w:rsidRPr="00473AD0" w:rsidRDefault="00480F16" w:rsidP="006F74E9">
            <w:pPr>
              <w:spacing w:after="120"/>
              <w:jc w:val="left"/>
            </w:pPr>
            <w:proofErr w:type="spellStart"/>
            <w:r w:rsidRPr="00013D34">
              <w:t>FedDataCheck</w:t>
            </w:r>
            <w:proofErr w:type="spellEnd"/>
            <w:r w:rsidRPr="00013D34">
              <w:t xml:space="preserve"> Webinar - Commercial Item Acquisition Procedures - Expanding Universes and Inconsistent Coding</w:t>
            </w:r>
          </w:p>
        </w:tc>
        <w:tc>
          <w:tcPr>
            <w:tcW w:w="1350" w:type="dxa"/>
            <w:noWrap/>
          </w:tcPr>
          <w:p w14:paraId="57EABCE0" w14:textId="77777777" w:rsidR="00480F16" w:rsidRPr="00473AD0" w:rsidRDefault="00480F16" w:rsidP="006F74E9">
            <w:pPr>
              <w:spacing w:after="120"/>
            </w:pPr>
            <w:r>
              <w:t>5/28/2019</w:t>
            </w:r>
          </w:p>
        </w:tc>
        <w:tc>
          <w:tcPr>
            <w:tcW w:w="5135" w:type="dxa"/>
          </w:tcPr>
          <w:p w14:paraId="635CB7A9" w14:textId="77777777" w:rsidR="00480F16" w:rsidRPr="00473AD0" w:rsidRDefault="00480F16" w:rsidP="006F74E9">
            <w:pPr>
              <w:spacing w:after="120"/>
            </w:pPr>
            <w:r>
              <w:t xml:space="preserve">Provide </w:t>
            </w:r>
            <w:proofErr w:type="spellStart"/>
            <w:r>
              <w:t>FedDataCheck</w:t>
            </w:r>
            <w:proofErr w:type="spellEnd"/>
            <w:r>
              <w:t xml:space="preserve"> Webinar information</w:t>
            </w:r>
          </w:p>
        </w:tc>
      </w:tr>
      <w:tr w:rsidR="00480F16" w:rsidRPr="00473AD0" w14:paraId="1E196DC0" w14:textId="77777777" w:rsidTr="006F74E9">
        <w:trPr>
          <w:trHeight w:val="580"/>
        </w:trPr>
        <w:tc>
          <w:tcPr>
            <w:tcW w:w="890" w:type="dxa"/>
            <w:noWrap/>
            <w:hideMark/>
          </w:tcPr>
          <w:p w14:paraId="27937D67" w14:textId="77777777" w:rsidR="00480F16" w:rsidRPr="00473AD0" w:rsidRDefault="00480F16" w:rsidP="006F74E9">
            <w:pPr>
              <w:spacing w:after="120"/>
            </w:pPr>
            <w:r w:rsidRPr="00473AD0">
              <w:t>19-</w:t>
            </w:r>
            <w:r>
              <w:t>4</w:t>
            </w:r>
            <w:r w:rsidRPr="00473AD0">
              <w:t>1</w:t>
            </w:r>
          </w:p>
        </w:tc>
        <w:tc>
          <w:tcPr>
            <w:tcW w:w="3510" w:type="dxa"/>
            <w:noWrap/>
          </w:tcPr>
          <w:p w14:paraId="603EA8F7" w14:textId="77777777" w:rsidR="00480F16" w:rsidRPr="00473AD0" w:rsidRDefault="00480F16" w:rsidP="006F74E9">
            <w:pPr>
              <w:spacing w:after="120"/>
              <w:jc w:val="left"/>
            </w:pPr>
            <w:r w:rsidRPr="00013D34">
              <w:t>FY18 Independent Validation and Verification (IV&amp;V) Results</w:t>
            </w:r>
          </w:p>
        </w:tc>
        <w:tc>
          <w:tcPr>
            <w:tcW w:w="1350" w:type="dxa"/>
            <w:noWrap/>
          </w:tcPr>
          <w:p w14:paraId="5EE4EFAF" w14:textId="77777777" w:rsidR="00480F16" w:rsidRPr="00473AD0" w:rsidRDefault="00480F16" w:rsidP="006F74E9">
            <w:pPr>
              <w:spacing w:after="120"/>
            </w:pPr>
            <w:r>
              <w:t>5/28/2019</w:t>
            </w:r>
          </w:p>
        </w:tc>
        <w:tc>
          <w:tcPr>
            <w:tcW w:w="5135" w:type="dxa"/>
          </w:tcPr>
          <w:p w14:paraId="0FCBF241" w14:textId="77777777" w:rsidR="00480F16" w:rsidRPr="00473AD0" w:rsidRDefault="00480F16" w:rsidP="006F74E9">
            <w:pPr>
              <w:spacing w:after="120"/>
            </w:pPr>
            <w:r>
              <w:t>Provide FY18 Independent Validation and Verification Results</w:t>
            </w:r>
          </w:p>
        </w:tc>
      </w:tr>
      <w:tr w:rsidR="00480F16" w:rsidRPr="00473AD0" w14:paraId="05D34101" w14:textId="77777777" w:rsidTr="006F74E9">
        <w:trPr>
          <w:trHeight w:val="290"/>
        </w:trPr>
        <w:tc>
          <w:tcPr>
            <w:tcW w:w="890" w:type="dxa"/>
            <w:noWrap/>
            <w:hideMark/>
          </w:tcPr>
          <w:p w14:paraId="509412D3" w14:textId="77777777" w:rsidR="00480F16" w:rsidRPr="00473AD0" w:rsidRDefault="00480F16" w:rsidP="006F74E9">
            <w:pPr>
              <w:spacing w:after="120"/>
            </w:pPr>
            <w:r w:rsidRPr="00473AD0">
              <w:t>19-</w:t>
            </w:r>
            <w:r>
              <w:t>4</w:t>
            </w:r>
            <w:r w:rsidRPr="00473AD0">
              <w:t>2</w:t>
            </w:r>
          </w:p>
        </w:tc>
        <w:tc>
          <w:tcPr>
            <w:tcW w:w="3510" w:type="dxa"/>
            <w:noWrap/>
            <w:hideMark/>
          </w:tcPr>
          <w:p w14:paraId="5BA30BB5" w14:textId="77777777" w:rsidR="00480F16" w:rsidRPr="00473AD0" w:rsidRDefault="00480F16" w:rsidP="006F74E9">
            <w:pPr>
              <w:spacing w:after="120"/>
              <w:jc w:val="left"/>
            </w:pPr>
            <w:r w:rsidRPr="00013D34">
              <w:t>FPDS Downtime for Production Maintenance</w:t>
            </w:r>
          </w:p>
        </w:tc>
        <w:tc>
          <w:tcPr>
            <w:tcW w:w="1350" w:type="dxa"/>
            <w:noWrap/>
          </w:tcPr>
          <w:p w14:paraId="1904FD8A" w14:textId="77777777" w:rsidR="00480F16" w:rsidRPr="00473AD0" w:rsidRDefault="00480F16" w:rsidP="006F74E9">
            <w:pPr>
              <w:spacing w:after="120"/>
            </w:pPr>
            <w:r>
              <w:t>5/30/2019</w:t>
            </w:r>
          </w:p>
        </w:tc>
        <w:tc>
          <w:tcPr>
            <w:tcW w:w="5135" w:type="dxa"/>
          </w:tcPr>
          <w:p w14:paraId="6F7F685A" w14:textId="77777777" w:rsidR="00480F16" w:rsidRPr="00473AD0" w:rsidRDefault="00480F16" w:rsidP="006F74E9">
            <w:pPr>
              <w:spacing w:after="120"/>
            </w:pPr>
            <w:r>
              <w:t>FPDS Maintenance</w:t>
            </w:r>
          </w:p>
        </w:tc>
      </w:tr>
      <w:tr w:rsidR="00480F16" w:rsidRPr="00473AD0" w14:paraId="74BAE62A" w14:textId="77777777" w:rsidTr="006F74E9">
        <w:trPr>
          <w:trHeight w:val="290"/>
        </w:trPr>
        <w:tc>
          <w:tcPr>
            <w:tcW w:w="890" w:type="dxa"/>
            <w:noWrap/>
            <w:hideMark/>
          </w:tcPr>
          <w:p w14:paraId="14718408" w14:textId="77777777" w:rsidR="00480F16" w:rsidRPr="00473AD0" w:rsidRDefault="00480F16" w:rsidP="006F74E9">
            <w:pPr>
              <w:spacing w:after="120"/>
            </w:pPr>
            <w:r w:rsidRPr="00473AD0">
              <w:t>19-</w:t>
            </w:r>
            <w:r>
              <w:t>4</w:t>
            </w:r>
            <w:r w:rsidRPr="00473AD0">
              <w:t>3</w:t>
            </w:r>
          </w:p>
        </w:tc>
        <w:tc>
          <w:tcPr>
            <w:tcW w:w="3510" w:type="dxa"/>
            <w:noWrap/>
            <w:hideMark/>
          </w:tcPr>
          <w:p w14:paraId="61E2D104" w14:textId="77777777" w:rsidR="00480F16" w:rsidRPr="00473AD0" w:rsidRDefault="00480F16" w:rsidP="006F74E9">
            <w:pPr>
              <w:spacing w:after="120"/>
              <w:jc w:val="left"/>
            </w:pPr>
            <w:r w:rsidRPr="00013D34">
              <w:t>FPDS validation has been reinstated</w:t>
            </w:r>
          </w:p>
        </w:tc>
        <w:tc>
          <w:tcPr>
            <w:tcW w:w="1350" w:type="dxa"/>
            <w:noWrap/>
          </w:tcPr>
          <w:p w14:paraId="55796370" w14:textId="77777777" w:rsidR="00480F16" w:rsidRPr="00473AD0" w:rsidRDefault="00480F16" w:rsidP="006F74E9">
            <w:pPr>
              <w:spacing w:after="120"/>
            </w:pPr>
            <w:r>
              <w:t>6/3/2019</w:t>
            </w:r>
          </w:p>
        </w:tc>
        <w:tc>
          <w:tcPr>
            <w:tcW w:w="5135" w:type="dxa"/>
          </w:tcPr>
          <w:p w14:paraId="2CE8A97D" w14:textId="77777777" w:rsidR="00480F16" w:rsidRPr="00473AD0" w:rsidRDefault="00480F16" w:rsidP="006F74E9">
            <w:pPr>
              <w:spacing w:after="120"/>
            </w:pPr>
            <w:r>
              <w:t>Reinstatement of FPDS validation</w:t>
            </w:r>
          </w:p>
        </w:tc>
      </w:tr>
      <w:tr w:rsidR="00480F16" w:rsidRPr="00473AD0" w14:paraId="514737BC" w14:textId="77777777" w:rsidTr="006F74E9">
        <w:trPr>
          <w:trHeight w:val="290"/>
        </w:trPr>
        <w:tc>
          <w:tcPr>
            <w:tcW w:w="890" w:type="dxa"/>
            <w:noWrap/>
            <w:hideMark/>
          </w:tcPr>
          <w:p w14:paraId="411CDD95" w14:textId="77777777" w:rsidR="00480F16" w:rsidRPr="00473AD0" w:rsidRDefault="00480F16" w:rsidP="006F74E9">
            <w:pPr>
              <w:spacing w:after="120"/>
            </w:pPr>
            <w:r w:rsidRPr="00473AD0">
              <w:t>19-</w:t>
            </w:r>
            <w:r>
              <w:t>4</w:t>
            </w:r>
            <w:r w:rsidRPr="00473AD0">
              <w:t>4</w:t>
            </w:r>
          </w:p>
        </w:tc>
        <w:tc>
          <w:tcPr>
            <w:tcW w:w="3510" w:type="dxa"/>
            <w:noWrap/>
            <w:hideMark/>
          </w:tcPr>
          <w:p w14:paraId="0B6D6E94" w14:textId="77777777" w:rsidR="00480F16" w:rsidRPr="00473AD0" w:rsidRDefault="00480F16" w:rsidP="006F74E9">
            <w:pPr>
              <w:spacing w:after="120"/>
              <w:jc w:val="left"/>
            </w:pPr>
            <w:r w:rsidRPr="00013D34">
              <w:t>Awards not Reported to FPDS/DCIS on Friday, May 31, 2019</w:t>
            </w:r>
          </w:p>
        </w:tc>
        <w:tc>
          <w:tcPr>
            <w:tcW w:w="1350" w:type="dxa"/>
            <w:noWrap/>
          </w:tcPr>
          <w:p w14:paraId="0037E841" w14:textId="77777777" w:rsidR="00480F16" w:rsidRPr="00473AD0" w:rsidRDefault="00480F16" w:rsidP="006F74E9">
            <w:pPr>
              <w:spacing w:after="120"/>
            </w:pPr>
            <w:r>
              <w:t>6/3/2019</w:t>
            </w:r>
          </w:p>
        </w:tc>
        <w:tc>
          <w:tcPr>
            <w:tcW w:w="5135" w:type="dxa"/>
          </w:tcPr>
          <w:p w14:paraId="7BD5B9D6" w14:textId="77777777" w:rsidR="00480F16" w:rsidRPr="00473AD0" w:rsidRDefault="00480F16" w:rsidP="006F74E9">
            <w:pPr>
              <w:spacing w:after="120"/>
            </w:pPr>
            <w:r>
              <w:t>Provide awards not reported to FPDS/DCIS on May 31, 2019</w:t>
            </w:r>
          </w:p>
        </w:tc>
      </w:tr>
      <w:tr w:rsidR="00480F16" w:rsidRPr="00473AD0" w14:paraId="2E7BB3C1" w14:textId="77777777" w:rsidTr="006F74E9">
        <w:trPr>
          <w:trHeight w:val="290"/>
        </w:trPr>
        <w:tc>
          <w:tcPr>
            <w:tcW w:w="890" w:type="dxa"/>
            <w:noWrap/>
            <w:hideMark/>
          </w:tcPr>
          <w:p w14:paraId="34320C3A" w14:textId="77777777" w:rsidR="00480F16" w:rsidRPr="00473AD0" w:rsidRDefault="00480F16" w:rsidP="006F74E9">
            <w:pPr>
              <w:spacing w:after="120"/>
            </w:pPr>
            <w:r w:rsidRPr="00473AD0">
              <w:t>19-</w:t>
            </w:r>
            <w:r>
              <w:t>4</w:t>
            </w:r>
            <w:r w:rsidRPr="00473AD0">
              <w:t>5</w:t>
            </w:r>
          </w:p>
        </w:tc>
        <w:tc>
          <w:tcPr>
            <w:tcW w:w="3510" w:type="dxa"/>
            <w:noWrap/>
            <w:hideMark/>
          </w:tcPr>
          <w:p w14:paraId="7F0BDA3E" w14:textId="77777777" w:rsidR="00480F16" w:rsidRPr="00473AD0" w:rsidRDefault="00480F16" w:rsidP="006F74E9">
            <w:pPr>
              <w:spacing w:after="120"/>
              <w:jc w:val="left"/>
            </w:pPr>
            <w:r w:rsidRPr="00013D34">
              <w:t>Execution of NBS PO Final Close Program on FY 2014 Canceling Year Funds</w:t>
            </w:r>
          </w:p>
        </w:tc>
        <w:tc>
          <w:tcPr>
            <w:tcW w:w="1350" w:type="dxa"/>
            <w:noWrap/>
          </w:tcPr>
          <w:p w14:paraId="04C0802D" w14:textId="77777777" w:rsidR="00480F16" w:rsidRPr="00473AD0" w:rsidRDefault="00480F16" w:rsidP="006F74E9">
            <w:pPr>
              <w:spacing w:after="120"/>
            </w:pPr>
            <w:r>
              <w:t>6/10/2019</w:t>
            </w:r>
          </w:p>
        </w:tc>
        <w:tc>
          <w:tcPr>
            <w:tcW w:w="5135" w:type="dxa"/>
          </w:tcPr>
          <w:p w14:paraId="6801F75E" w14:textId="77777777" w:rsidR="00480F16" w:rsidRPr="00473AD0" w:rsidRDefault="00480F16" w:rsidP="006F74E9">
            <w:pPr>
              <w:spacing w:after="120"/>
            </w:pPr>
            <w:r>
              <w:t>Provide executive of NBS PO Final Close Program on FY2014 Canceling Year Funds</w:t>
            </w:r>
          </w:p>
        </w:tc>
      </w:tr>
      <w:tr w:rsidR="00480F16" w:rsidRPr="00473AD0" w14:paraId="431DA148" w14:textId="77777777" w:rsidTr="006F74E9">
        <w:trPr>
          <w:trHeight w:val="290"/>
        </w:trPr>
        <w:tc>
          <w:tcPr>
            <w:tcW w:w="890" w:type="dxa"/>
            <w:noWrap/>
            <w:hideMark/>
          </w:tcPr>
          <w:p w14:paraId="5AABCE73" w14:textId="77777777" w:rsidR="00480F16" w:rsidRPr="00473AD0" w:rsidRDefault="00480F16" w:rsidP="006F74E9">
            <w:pPr>
              <w:spacing w:after="120"/>
            </w:pPr>
            <w:r w:rsidRPr="00473AD0">
              <w:t>19-</w:t>
            </w:r>
            <w:r>
              <w:t>4</w:t>
            </w:r>
            <w:r w:rsidRPr="00473AD0">
              <w:t>6</w:t>
            </w:r>
          </w:p>
        </w:tc>
        <w:tc>
          <w:tcPr>
            <w:tcW w:w="3510" w:type="dxa"/>
            <w:noWrap/>
            <w:hideMark/>
          </w:tcPr>
          <w:p w14:paraId="0C1BFBBB" w14:textId="77777777" w:rsidR="00480F16" w:rsidRPr="00473AD0" w:rsidRDefault="00480F16" w:rsidP="006F74E9">
            <w:pPr>
              <w:spacing w:after="120"/>
              <w:jc w:val="left"/>
            </w:pPr>
            <w:r w:rsidRPr="00013D34">
              <w:t xml:space="preserve">DCIS Data Corrections - </w:t>
            </w:r>
            <w:proofErr w:type="spellStart"/>
            <w:r w:rsidRPr="00013D34">
              <w:t>FedDataCheck</w:t>
            </w:r>
            <w:proofErr w:type="spellEnd"/>
            <w:r w:rsidRPr="00013D34">
              <w:t xml:space="preserve"> 123 Alert Email Tip</w:t>
            </w:r>
          </w:p>
        </w:tc>
        <w:tc>
          <w:tcPr>
            <w:tcW w:w="1350" w:type="dxa"/>
            <w:noWrap/>
          </w:tcPr>
          <w:p w14:paraId="2894E244" w14:textId="77777777" w:rsidR="00480F16" w:rsidRPr="00473AD0" w:rsidRDefault="00480F16" w:rsidP="006F74E9">
            <w:pPr>
              <w:spacing w:after="120"/>
            </w:pPr>
            <w:r>
              <w:t>6/14/2019</w:t>
            </w:r>
          </w:p>
        </w:tc>
        <w:tc>
          <w:tcPr>
            <w:tcW w:w="5135" w:type="dxa"/>
          </w:tcPr>
          <w:p w14:paraId="72B9206B" w14:textId="77777777" w:rsidR="00480F16" w:rsidRPr="00473AD0" w:rsidRDefault="00480F16" w:rsidP="006F74E9">
            <w:pPr>
              <w:spacing w:after="120"/>
            </w:pPr>
            <w:r>
              <w:t>Provide DCIS Data Corrections</w:t>
            </w:r>
          </w:p>
        </w:tc>
      </w:tr>
      <w:tr w:rsidR="00480F16" w:rsidRPr="00473AD0" w14:paraId="22FB18B2" w14:textId="77777777" w:rsidTr="006F74E9">
        <w:trPr>
          <w:trHeight w:val="290"/>
        </w:trPr>
        <w:tc>
          <w:tcPr>
            <w:tcW w:w="890" w:type="dxa"/>
            <w:noWrap/>
          </w:tcPr>
          <w:p w14:paraId="62C11D19" w14:textId="77777777" w:rsidR="00480F16" w:rsidRPr="00473AD0" w:rsidRDefault="00480F16" w:rsidP="006F74E9">
            <w:pPr>
              <w:spacing w:after="120"/>
            </w:pPr>
            <w:r>
              <w:t>19-47</w:t>
            </w:r>
          </w:p>
        </w:tc>
        <w:tc>
          <w:tcPr>
            <w:tcW w:w="3510" w:type="dxa"/>
            <w:noWrap/>
          </w:tcPr>
          <w:p w14:paraId="25862F09" w14:textId="77777777" w:rsidR="00480F16" w:rsidRPr="00473AD0" w:rsidRDefault="00480F16" w:rsidP="006F74E9">
            <w:pPr>
              <w:spacing w:after="120"/>
              <w:jc w:val="left"/>
            </w:pPr>
            <w:proofErr w:type="spellStart"/>
            <w:r w:rsidRPr="00013D34">
              <w:t>FedDataCheck</w:t>
            </w:r>
            <w:proofErr w:type="spellEnd"/>
            <w:r w:rsidRPr="00013D34">
              <w:t xml:space="preserve"> Webinar -- – Linking FPDS-NG to Sub-Awards and their corresponding Highly Compensated Officers  </w:t>
            </w:r>
          </w:p>
        </w:tc>
        <w:tc>
          <w:tcPr>
            <w:tcW w:w="1350" w:type="dxa"/>
            <w:noWrap/>
          </w:tcPr>
          <w:p w14:paraId="27C735C7" w14:textId="77777777" w:rsidR="00480F16" w:rsidRPr="00473AD0" w:rsidRDefault="00480F16" w:rsidP="006F74E9">
            <w:pPr>
              <w:spacing w:after="120"/>
            </w:pPr>
            <w:r>
              <w:t>6/17/2019</w:t>
            </w:r>
          </w:p>
        </w:tc>
        <w:tc>
          <w:tcPr>
            <w:tcW w:w="5135" w:type="dxa"/>
          </w:tcPr>
          <w:p w14:paraId="2066CE0A" w14:textId="77777777" w:rsidR="00480F16" w:rsidRPr="00473AD0" w:rsidRDefault="00480F16" w:rsidP="006F74E9">
            <w:pPr>
              <w:spacing w:after="120"/>
            </w:pPr>
            <w:r>
              <w:t xml:space="preserve">Provide </w:t>
            </w:r>
            <w:proofErr w:type="spellStart"/>
            <w:r>
              <w:t>FedDataCheck</w:t>
            </w:r>
            <w:proofErr w:type="spellEnd"/>
            <w:r>
              <w:t xml:space="preserve"> Webinar </w:t>
            </w:r>
          </w:p>
        </w:tc>
      </w:tr>
      <w:tr w:rsidR="00480F16" w:rsidRPr="00473AD0" w14:paraId="3A925078" w14:textId="77777777" w:rsidTr="006F74E9">
        <w:trPr>
          <w:trHeight w:val="485"/>
        </w:trPr>
        <w:tc>
          <w:tcPr>
            <w:tcW w:w="890" w:type="dxa"/>
            <w:noWrap/>
          </w:tcPr>
          <w:p w14:paraId="15EF2DF2" w14:textId="77777777" w:rsidR="00480F16" w:rsidRPr="00473AD0" w:rsidRDefault="00480F16" w:rsidP="006F74E9">
            <w:pPr>
              <w:spacing w:after="120"/>
            </w:pPr>
            <w:r>
              <w:lastRenderedPageBreak/>
              <w:t>19-48</w:t>
            </w:r>
          </w:p>
        </w:tc>
        <w:tc>
          <w:tcPr>
            <w:tcW w:w="3510" w:type="dxa"/>
            <w:noWrap/>
          </w:tcPr>
          <w:p w14:paraId="13C2691F" w14:textId="77777777" w:rsidR="00480F16" w:rsidRPr="00473AD0" w:rsidRDefault="00480F16" w:rsidP="006F74E9">
            <w:pPr>
              <w:spacing w:after="120"/>
              <w:jc w:val="left"/>
            </w:pPr>
            <w:r w:rsidRPr="00D8370E">
              <w:t>FY 2014 Canceling Year Lines &amp; NBS Automated Close Program Run of June 21</w:t>
            </w:r>
          </w:p>
        </w:tc>
        <w:tc>
          <w:tcPr>
            <w:tcW w:w="1350" w:type="dxa"/>
            <w:noWrap/>
          </w:tcPr>
          <w:p w14:paraId="24477353" w14:textId="77777777" w:rsidR="00480F16" w:rsidRPr="00473AD0" w:rsidRDefault="00480F16" w:rsidP="006F74E9">
            <w:pPr>
              <w:spacing w:after="120"/>
            </w:pPr>
            <w:r>
              <w:t>6/27/2019</w:t>
            </w:r>
          </w:p>
        </w:tc>
        <w:tc>
          <w:tcPr>
            <w:tcW w:w="5135" w:type="dxa"/>
          </w:tcPr>
          <w:p w14:paraId="641FFF4E" w14:textId="77777777" w:rsidR="00480F16" w:rsidRPr="00473AD0" w:rsidRDefault="00480F16" w:rsidP="006F74E9">
            <w:pPr>
              <w:spacing w:after="120"/>
            </w:pPr>
            <w:r>
              <w:t xml:space="preserve">Provide </w:t>
            </w:r>
            <w:r w:rsidRPr="000B6B11">
              <w:t>FY 2014 Canceling Year Lines &amp; NBS Automated Close Program</w:t>
            </w:r>
          </w:p>
        </w:tc>
      </w:tr>
      <w:tr w:rsidR="00480F16" w:rsidRPr="00473AD0" w14:paraId="4597EC99" w14:textId="77777777" w:rsidTr="006F74E9">
        <w:trPr>
          <w:trHeight w:val="290"/>
        </w:trPr>
        <w:tc>
          <w:tcPr>
            <w:tcW w:w="890" w:type="dxa"/>
            <w:noWrap/>
          </w:tcPr>
          <w:p w14:paraId="1A25CC1C" w14:textId="77777777" w:rsidR="00480F16" w:rsidRPr="00473AD0" w:rsidRDefault="00480F16" w:rsidP="006F74E9">
            <w:pPr>
              <w:spacing w:after="120"/>
            </w:pPr>
            <w:r>
              <w:t>19-49</w:t>
            </w:r>
          </w:p>
        </w:tc>
        <w:tc>
          <w:tcPr>
            <w:tcW w:w="3510" w:type="dxa"/>
            <w:noWrap/>
          </w:tcPr>
          <w:p w14:paraId="371410B6" w14:textId="77777777" w:rsidR="00480F16" w:rsidRPr="00473AD0" w:rsidRDefault="00480F16" w:rsidP="006F74E9">
            <w:pPr>
              <w:spacing w:after="120"/>
              <w:jc w:val="left"/>
            </w:pPr>
            <w:r w:rsidRPr="00D8370E">
              <w:t>FY 2014 Canceling Year Lines &amp; Scheduled NBS Automated Close Program Run of July 20</w:t>
            </w:r>
          </w:p>
        </w:tc>
        <w:tc>
          <w:tcPr>
            <w:tcW w:w="1350" w:type="dxa"/>
            <w:noWrap/>
          </w:tcPr>
          <w:p w14:paraId="17D1D4FC" w14:textId="77777777" w:rsidR="00480F16" w:rsidRPr="00473AD0" w:rsidRDefault="00480F16" w:rsidP="006F74E9">
            <w:pPr>
              <w:spacing w:after="120"/>
            </w:pPr>
            <w:r>
              <w:t>7/1/2019</w:t>
            </w:r>
          </w:p>
        </w:tc>
        <w:tc>
          <w:tcPr>
            <w:tcW w:w="5135" w:type="dxa"/>
          </w:tcPr>
          <w:p w14:paraId="67E48A3B" w14:textId="77777777" w:rsidR="00480F16" w:rsidRPr="00473AD0" w:rsidRDefault="00480F16" w:rsidP="006F74E9">
            <w:pPr>
              <w:spacing w:after="120"/>
            </w:pPr>
            <w:r>
              <w:t xml:space="preserve">Provide update on cancelling year lines &amp; scheduled </w:t>
            </w:r>
            <w:proofErr w:type="gramStart"/>
            <w:r>
              <w:t>NBS  Automated</w:t>
            </w:r>
            <w:proofErr w:type="gramEnd"/>
            <w:r>
              <w:t xml:space="preserve"> Close</w:t>
            </w:r>
          </w:p>
        </w:tc>
      </w:tr>
      <w:tr w:rsidR="00480F16" w:rsidRPr="00473AD0" w14:paraId="2EF0B514" w14:textId="77777777" w:rsidTr="006F74E9">
        <w:trPr>
          <w:trHeight w:val="290"/>
        </w:trPr>
        <w:tc>
          <w:tcPr>
            <w:tcW w:w="890" w:type="dxa"/>
            <w:noWrap/>
          </w:tcPr>
          <w:p w14:paraId="705C8A63" w14:textId="77777777" w:rsidR="00480F16" w:rsidRPr="00473AD0" w:rsidRDefault="00480F16" w:rsidP="006F74E9">
            <w:pPr>
              <w:spacing w:after="120"/>
            </w:pPr>
            <w:r>
              <w:t>19-50</w:t>
            </w:r>
          </w:p>
        </w:tc>
        <w:tc>
          <w:tcPr>
            <w:tcW w:w="3510" w:type="dxa"/>
            <w:noWrap/>
          </w:tcPr>
          <w:p w14:paraId="2935EBE1" w14:textId="77777777" w:rsidR="00480F16" w:rsidRPr="00473AD0" w:rsidRDefault="00480F16" w:rsidP="006F74E9">
            <w:pPr>
              <w:spacing w:after="120"/>
            </w:pPr>
            <w:r w:rsidRPr="00047A91">
              <w:t>FPDS Changes – June 2019</w:t>
            </w:r>
          </w:p>
        </w:tc>
        <w:tc>
          <w:tcPr>
            <w:tcW w:w="1350" w:type="dxa"/>
            <w:noWrap/>
          </w:tcPr>
          <w:p w14:paraId="14A6F095" w14:textId="77777777" w:rsidR="00480F16" w:rsidRPr="00473AD0" w:rsidRDefault="00480F16" w:rsidP="006F74E9">
            <w:pPr>
              <w:spacing w:after="120"/>
            </w:pPr>
            <w:r>
              <w:t>7/1/2019</w:t>
            </w:r>
          </w:p>
        </w:tc>
        <w:tc>
          <w:tcPr>
            <w:tcW w:w="5135" w:type="dxa"/>
          </w:tcPr>
          <w:p w14:paraId="63682F70" w14:textId="77777777" w:rsidR="00480F16" w:rsidRPr="00473AD0" w:rsidRDefault="00480F16" w:rsidP="006F74E9">
            <w:pPr>
              <w:spacing w:after="120"/>
            </w:pPr>
            <w:r>
              <w:t>Provide FPDS Changes</w:t>
            </w:r>
          </w:p>
        </w:tc>
      </w:tr>
      <w:tr w:rsidR="00480F16" w:rsidRPr="00473AD0" w14:paraId="0DDF958D" w14:textId="77777777" w:rsidTr="006F74E9">
        <w:trPr>
          <w:trHeight w:val="530"/>
        </w:trPr>
        <w:tc>
          <w:tcPr>
            <w:tcW w:w="890" w:type="dxa"/>
            <w:noWrap/>
          </w:tcPr>
          <w:p w14:paraId="635F8E7D" w14:textId="77777777" w:rsidR="00480F16" w:rsidRPr="00473AD0" w:rsidRDefault="00480F16" w:rsidP="006F74E9">
            <w:pPr>
              <w:spacing w:after="120"/>
            </w:pPr>
            <w:r>
              <w:t>19-51</w:t>
            </w:r>
          </w:p>
        </w:tc>
        <w:tc>
          <w:tcPr>
            <w:tcW w:w="3510" w:type="dxa"/>
            <w:noWrap/>
          </w:tcPr>
          <w:p w14:paraId="63EA4386" w14:textId="77777777" w:rsidR="00480F16" w:rsidRPr="00473AD0" w:rsidRDefault="00480F16" w:rsidP="006F74E9">
            <w:pPr>
              <w:spacing w:after="120"/>
            </w:pPr>
            <w:proofErr w:type="spellStart"/>
            <w:r w:rsidRPr="00047A91">
              <w:t>PCard</w:t>
            </w:r>
            <w:proofErr w:type="spellEnd"/>
            <w:r w:rsidRPr="00047A91">
              <w:t xml:space="preserve"> Changes – June 2019</w:t>
            </w:r>
          </w:p>
        </w:tc>
        <w:tc>
          <w:tcPr>
            <w:tcW w:w="1350" w:type="dxa"/>
            <w:noWrap/>
          </w:tcPr>
          <w:p w14:paraId="2D2D5E06" w14:textId="77777777" w:rsidR="00480F16" w:rsidRPr="00473AD0" w:rsidRDefault="00480F16" w:rsidP="006F74E9">
            <w:pPr>
              <w:spacing w:after="120"/>
            </w:pPr>
            <w:r>
              <w:t>7/1/2019</w:t>
            </w:r>
          </w:p>
        </w:tc>
        <w:tc>
          <w:tcPr>
            <w:tcW w:w="5135" w:type="dxa"/>
          </w:tcPr>
          <w:p w14:paraId="407CC6B3" w14:textId="77777777" w:rsidR="00480F16" w:rsidRPr="00473AD0" w:rsidRDefault="00480F16" w:rsidP="006F74E9">
            <w:pPr>
              <w:spacing w:after="120"/>
            </w:pPr>
            <w:r>
              <w:t xml:space="preserve">Provide </w:t>
            </w:r>
            <w:proofErr w:type="spellStart"/>
            <w:r>
              <w:t>PCard</w:t>
            </w:r>
            <w:proofErr w:type="spellEnd"/>
            <w:r>
              <w:t xml:space="preserve"> Changes</w:t>
            </w:r>
          </w:p>
        </w:tc>
      </w:tr>
      <w:tr w:rsidR="00480F16" w:rsidRPr="00473AD0" w14:paraId="77A0CE2B" w14:textId="77777777" w:rsidTr="006F74E9">
        <w:trPr>
          <w:trHeight w:val="290"/>
        </w:trPr>
        <w:tc>
          <w:tcPr>
            <w:tcW w:w="890" w:type="dxa"/>
            <w:noWrap/>
          </w:tcPr>
          <w:p w14:paraId="5578F180" w14:textId="77777777" w:rsidR="00480F16" w:rsidRPr="00473AD0" w:rsidRDefault="00480F16" w:rsidP="006F74E9">
            <w:pPr>
              <w:spacing w:after="120"/>
            </w:pPr>
            <w:r>
              <w:t>19-52</w:t>
            </w:r>
          </w:p>
        </w:tc>
        <w:tc>
          <w:tcPr>
            <w:tcW w:w="3510" w:type="dxa"/>
            <w:noWrap/>
          </w:tcPr>
          <w:p w14:paraId="1BD5ACF2" w14:textId="77777777" w:rsidR="00480F16" w:rsidRPr="00473AD0" w:rsidRDefault="00480F16" w:rsidP="006F74E9">
            <w:pPr>
              <w:spacing w:after="120"/>
            </w:pPr>
            <w:r w:rsidRPr="00013D34">
              <w:t>FY 2014 Canceling Year Lines &amp; Scheduled NBS Automated Close Program Run of July 20</w:t>
            </w:r>
          </w:p>
        </w:tc>
        <w:tc>
          <w:tcPr>
            <w:tcW w:w="1350" w:type="dxa"/>
            <w:noWrap/>
          </w:tcPr>
          <w:p w14:paraId="6F587389" w14:textId="77777777" w:rsidR="00480F16" w:rsidRPr="00473AD0" w:rsidRDefault="00480F16" w:rsidP="006F74E9">
            <w:pPr>
              <w:spacing w:after="120"/>
            </w:pPr>
            <w:r>
              <w:t>7/8/2019</w:t>
            </w:r>
          </w:p>
        </w:tc>
        <w:tc>
          <w:tcPr>
            <w:tcW w:w="5135" w:type="dxa"/>
          </w:tcPr>
          <w:p w14:paraId="2F5554BE" w14:textId="77777777" w:rsidR="00480F16" w:rsidRPr="00473AD0" w:rsidRDefault="00480F16" w:rsidP="006F74E9">
            <w:pPr>
              <w:spacing w:after="120"/>
            </w:pPr>
            <w:r>
              <w:t xml:space="preserve">Provide </w:t>
            </w:r>
            <w:r w:rsidRPr="000B6B11">
              <w:t>FY 2014 Canceling Year Lines &amp; Scheduled NBS Automated Close</w:t>
            </w:r>
          </w:p>
        </w:tc>
      </w:tr>
      <w:tr w:rsidR="00480F16" w:rsidRPr="00473AD0" w14:paraId="08CBE4C1" w14:textId="77777777" w:rsidTr="006F74E9">
        <w:trPr>
          <w:trHeight w:val="290"/>
        </w:trPr>
        <w:tc>
          <w:tcPr>
            <w:tcW w:w="890" w:type="dxa"/>
            <w:noWrap/>
          </w:tcPr>
          <w:p w14:paraId="6F123CF5" w14:textId="77777777" w:rsidR="00480F16" w:rsidRPr="00473AD0" w:rsidRDefault="00480F16" w:rsidP="006F74E9">
            <w:pPr>
              <w:spacing w:after="120"/>
            </w:pPr>
            <w:r>
              <w:t>19-53</w:t>
            </w:r>
          </w:p>
        </w:tc>
        <w:tc>
          <w:tcPr>
            <w:tcW w:w="3510" w:type="dxa"/>
            <w:noWrap/>
          </w:tcPr>
          <w:p w14:paraId="29B96E3A" w14:textId="77777777" w:rsidR="00480F16" w:rsidRPr="00473AD0" w:rsidRDefault="00480F16" w:rsidP="006F74E9">
            <w:pPr>
              <w:spacing w:after="120"/>
            </w:pPr>
            <w:r w:rsidRPr="004C00F6">
              <w:t>DCIS is Down</w:t>
            </w:r>
          </w:p>
        </w:tc>
        <w:tc>
          <w:tcPr>
            <w:tcW w:w="1350" w:type="dxa"/>
            <w:noWrap/>
          </w:tcPr>
          <w:p w14:paraId="49C67E36" w14:textId="77777777" w:rsidR="00480F16" w:rsidRPr="00473AD0" w:rsidRDefault="00480F16" w:rsidP="006F74E9">
            <w:pPr>
              <w:spacing w:after="120"/>
            </w:pPr>
            <w:r>
              <w:t>7/15/2019</w:t>
            </w:r>
          </w:p>
        </w:tc>
        <w:tc>
          <w:tcPr>
            <w:tcW w:w="5135" w:type="dxa"/>
          </w:tcPr>
          <w:p w14:paraId="5EE4C0F8" w14:textId="77777777" w:rsidR="00480F16" w:rsidRPr="00473AD0" w:rsidRDefault="00480F16" w:rsidP="006F74E9">
            <w:pPr>
              <w:spacing w:after="120"/>
            </w:pPr>
            <w:r>
              <w:t>DCIS Downtime</w:t>
            </w:r>
          </w:p>
        </w:tc>
      </w:tr>
      <w:tr w:rsidR="00480F16" w:rsidRPr="00473AD0" w14:paraId="604C5649" w14:textId="77777777" w:rsidTr="006F74E9">
        <w:trPr>
          <w:trHeight w:val="290"/>
        </w:trPr>
        <w:tc>
          <w:tcPr>
            <w:tcW w:w="890" w:type="dxa"/>
            <w:noWrap/>
          </w:tcPr>
          <w:p w14:paraId="111380DB" w14:textId="77777777" w:rsidR="00480F16" w:rsidRPr="00473AD0" w:rsidRDefault="00480F16" w:rsidP="006F74E9">
            <w:pPr>
              <w:spacing w:after="120"/>
            </w:pPr>
            <w:r>
              <w:t>19-54</w:t>
            </w:r>
          </w:p>
        </w:tc>
        <w:tc>
          <w:tcPr>
            <w:tcW w:w="3510" w:type="dxa"/>
            <w:noWrap/>
          </w:tcPr>
          <w:p w14:paraId="344302A3" w14:textId="77777777" w:rsidR="00480F16" w:rsidRPr="00473AD0" w:rsidRDefault="00480F16" w:rsidP="006F74E9">
            <w:pPr>
              <w:spacing w:after="120"/>
            </w:pPr>
            <w:r w:rsidRPr="004C00F6">
              <w:t>DCIS Connectivity - RESOLVED</w:t>
            </w:r>
          </w:p>
        </w:tc>
        <w:tc>
          <w:tcPr>
            <w:tcW w:w="1350" w:type="dxa"/>
            <w:noWrap/>
          </w:tcPr>
          <w:p w14:paraId="09C90015" w14:textId="77777777" w:rsidR="00480F16" w:rsidRPr="00473AD0" w:rsidRDefault="00480F16" w:rsidP="006F74E9">
            <w:pPr>
              <w:spacing w:after="120"/>
            </w:pPr>
            <w:r>
              <w:t>7/15/2019</w:t>
            </w:r>
          </w:p>
        </w:tc>
        <w:tc>
          <w:tcPr>
            <w:tcW w:w="5135" w:type="dxa"/>
          </w:tcPr>
          <w:p w14:paraId="7F14E96F" w14:textId="77777777" w:rsidR="00480F16" w:rsidRPr="00473AD0" w:rsidRDefault="00480F16" w:rsidP="006F74E9">
            <w:pPr>
              <w:spacing w:after="120"/>
            </w:pPr>
            <w:r>
              <w:t>DCIS Restored</w:t>
            </w:r>
          </w:p>
        </w:tc>
      </w:tr>
      <w:tr w:rsidR="00480F16" w:rsidRPr="00473AD0" w14:paraId="0081A157" w14:textId="77777777" w:rsidTr="006F74E9">
        <w:trPr>
          <w:trHeight w:val="290"/>
        </w:trPr>
        <w:tc>
          <w:tcPr>
            <w:tcW w:w="890" w:type="dxa"/>
            <w:noWrap/>
          </w:tcPr>
          <w:p w14:paraId="6B971E3C" w14:textId="77777777" w:rsidR="00480F16" w:rsidRPr="00473AD0" w:rsidRDefault="00480F16" w:rsidP="006F74E9">
            <w:pPr>
              <w:spacing w:after="120"/>
            </w:pPr>
            <w:r>
              <w:t>19-55</w:t>
            </w:r>
          </w:p>
        </w:tc>
        <w:tc>
          <w:tcPr>
            <w:tcW w:w="3510" w:type="dxa"/>
            <w:noWrap/>
          </w:tcPr>
          <w:p w14:paraId="1F6FDD55" w14:textId="77777777" w:rsidR="00480F16" w:rsidRPr="00473AD0" w:rsidRDefault="00480F16" w:rsidP="006F74E9">
            <w:pPr>
              <w:spacing w:after="120"/>
            </w:pPr>
            <w:r w:rsidRPr="00013D34">
              <w:t>FY 2014 Canceling Year Lines &amp; Scheduled NBS Automated Close Program Run of July 20</w:t>
            </w:r>
          </w:p>
        </w:tc>
        <w:tc>
          <w:tcPr>
            <w:tcW w:w="1350" w:type="dxa"/>
            <w:noWrap/>
          </w:tcPr>
          <w:p w14:paraId="218AD155" w14:textId="77777777" w:rsidR="00480F16" w:rsidRPr="00473AD0" w:rsidRDefault="00480F16" w:rsidP="006F74E9">
            <w:pPr>
              <w:spacing w:after="120"/>
            </w:pPr>
            <w:r>
              <w:t>7/15/2019</w:t>
            </w:r>
          </w:p>
        </w:tc>
        <w:tc>
          <w:tcPr>
            <w:tcW w:w="5135" w:type="dxa"/>
          </w:tcPr>
          <w:p w14:paraId="658D8058" w14:textId="77777777" w:rsidR="00480F16" w:rsidRPr="00473AD0" w:rsidRDefault="00480F16" w:rsidP="006F74E9">
            <w:pPr>
              <w:spacing w:after="120"/>
            </w:pPr>
            <w:r>
              <w:t xml:space="preserve">Provide </w:t>
            </w:r>
            <w:r w:rsidRPr="000B6B11">
              <w:t>FY 2014 Canceling Year Lines &amp; Scheduled NBS Automated Close</w:t>
            </w:r>
          </w:p>
        </w:tc>
      </w:tr>
      <w:tr w:rsidR="00480F16" w:rsidRPr="00473AD0" w14:paraId="1CD68C6B" w14:textId="77777777" w:rsidTr="006F74E9">
        <w:trPr>
          <w:trHeight w:val="290"/>
        </w:trPr>
        <w:tc>
          <w:tcPr>
            <w:tcW w:w="890" w:type="dxa"/>
            <w:noWrap/>
          </w:tcPr>
          <w:p w14:paraId="08173344" w14:textId="77777777" w:rsidR="00480F16" w:rsidRPr="00473AD0" w:rsidRDefault="00480F16" w:rsidP="006F74E9">
            <w:pPr>
              <w:spacing w:after="120"/>
            </w:pPr>
            <w:r>
              <w:t>19-56</w:t>
            </w:r>
          </w:p>
        </w:tc>
        <w:tc>
          <w:tcPr>
            <w:tcW w:w="3510" w:type="dxa"/>
            <w:noWrap/>
          </w:tcPr>
          <w:p w14:paraId="7D167511" w14:textId="77777777" w:rsidR="00480F16" w:rsidRPr="00473AD0" w:rsidRDefault="00480F16" w:rsidP="006F74E9">
            <w:pPr>
              <w:spacing w:after="120"/>
            </w:pPr>
            <w:r w:rsidRPr="004C00F6">
              <w:t>FPDS Maintenance Downtime - Saturday, July 20, 2019</w:t>
            </w:r>
          </w:p>
        </w:tc>
        <w:tc>
          <w:tcPr>
            <w:tcW w:w="1350" w:type="dxa"/>
            <w:noWrap/>
          </w:tcPr>
          <w:p w14:paraId="61960FD0" w14:textId="77777777" w:rsidR="00480F16" w:rsidRPr="00473AD0" w:rsidRDefault="00480F16" w:rsidP="006F74E9">
            <w:pPr>
              <w:spacing w:after="120"/>
            </w:pPr>
            <w:r>
              <w:t>7/18/2019</w:t>
            </w:r>
          </w:p>
        </w:tc>
        <w:tc>
          <w:tcPr>
            <w:tcW w:w="5135" w:type="dxa"/>
          </w:tcPr>
          <w:p w14:paraId="54E97FBE" w14:textId="77777777" w:rsidR="00480F16" w:rsidRPr="00473AD0" w:rsidRDefault="00480F16" w:rsidP="006F74E9">
            <w:pPr>
              <w:spacing w:after="120"/>
            </w:pPr>
            <w:r>
              <w:t>FPDS Maintenance Downtime</w:t>
            </w:r>
          </w:p>
        </w:tc>
      </w:tr>
    </w:tbl>
    <w:p w14:paraId="6DD5AA07" w14:textId="77777777" w:rsidR="00CF32EE" w:rsidRDefault="00CF32EE" w:rsidP="005F2DE6">
      <w:pPr>
        <w:spacing w:line="240" w:lineRule="auto"/>
        <w:contextualSpacing/>
        <w:rPr>
          <w:rFonts w:eastAsia="Calibri" w:cs="Times New Roman"/>
          <w:noProof/>
          <w:sz w:val="28"/>
          <w:szCs w:val="28"/>
        </w:rPr>
      </w:pPr>
    </w:p>
    <w:p w14:paraId="38E8C17C" w14:textId="77777777" w:rsidR="00480F16" w:rsidRDefault="00480F16">
      <w:pPr>
        <w:spacing w:after="160" w:line="259" w:lineRule="auto"/>
        <w:rPr>
          <w:rFonts w:ascii="Arial" w:eastAsia="Times New Roman" w:hAnsi="Arial" w:cstheme="majorBidi"/>
          <w:b/>
          <w:bCs/>
          <w:sz w:val="32"/>
          <w:szCs w:val="28"/>
        </w:rPr>
      </w:pPr>
      <w:r>
        <w:rPr>
          <w:rFonts w:eastAsia="Times New Roman"/>
        </w:rPr>
        <w:br w:type="page"/>
      </w:r>
    </w:p>
    <w:p w14:paraId="54537E19" w14:textId="77777777" w:rsidR="00CF32EE" w:rsidRPr="00717AF1" w:rsidRDefault="00CF32EE" w:rsidP="00CF32EE">
      <w:pPr>
        <w:pStyle w:val="Heading1"/>
        <w:jc w:val="left"/>
        <w:rPr>
          <w:rFonts w:eastAsia="Times New Roman"/>
        </w:rPr>
      </w:pPr>
      <w:r w:rsidRPr="00717AF1">
        <w:rPr>
          <w:rFonts w:eastAsia="Times New Roman"/>
        </w:rPr>
        <w:lastRenderedPageBreak/>
        <w:t>Acquisition Training at NIH</w:t>
      </w:r>
    </w:p>
    <w:p w14:paraId="22196CEF" w14:textId="77777777" w:rsidR="00CF32EE" w:rsidRPr="00717AF1" w:rsidRDefault="00CF32EE" w:rsidP="00CF32EE">
      <w:pPr>
        <w:rPr>
          <w:color w:val="0000FF"/>
          <w:spacing w:val="-1"/>
          <w:u w:val="single" w:color="0000FF"/>
        </w:rPr>
      </w:pPr>
      <w:r w:rsidRPr="00717AF1">
        <w:rPr>
          <w:spacing w:val="1"/>
        </w:rPr>
        <w:t>A</w:t>
      </w:r>
      <w:r w:rsidRPr="00717AF1">
        <w:t>c</w:t>
      </w:r>
      <w:r w:rsidRPr="00717AF1">
        <w:rPr>
          <w:spacing w:val="-1"/>
        </w:rPr>
        <w:t>q</w:t>
      </w:r>
      <w:r w:rsidRPr="00717AF1">
        <w:rPr>
          <w:spacing w:val="1"/>
        </w:rPr>
        <w:t>u</w:t>
      </w:r>
      <w:r w:rsidRPr="00717AF1">
        <w:rPr>
          <w:spacing w:val="-1"/>
        </w:rPr>
        <w:t>i</w:t>
      </w:r>
      <w:r w:rsidRPr="00717AF1">
        <w:t>s</w:t>
      </w:r>
      <w:r w:rsidRPr="00717AF1">
        <w:rPr>
          <w:spacing w:val="-1"/>
        </w:rPr>
        <w:t>i</w:t>
      </w:r>
      <w:r w:rsidRPr="00717AF1">
        <w:rPr>
          <w:spacing w:val="1"/>
        </w:rPr>
        <w:t>t</w:t>
      </w:r>
      <w:r w:rsidRPr="00717AF1">
        <w:rPr>
          <w:spacing w:val="-1"/>
        </w:rPr>
        <w:t>i</w:t>
      </w:r>
      <w:r w:rsidRPr="00717AF1">
        <w:rPr>
          <w:spacing w:val="1"/>
        </w:rPr>
        <w:t>o</w:t>
      </w:r>
      <w:r w:rsidRPr="00717AF1">
        <w:t>n</w:t>
      </w:r>
      <w:r w:rsidRPr="00717AF1">
        <w:rPr>
          <w:spacing w:val="2"/>
        </w:rPr>
        <w:t xml:space="preserve"> T</w:t>
      </w:r>
      <w:r w:rsidRPr="00717AF1">
        <w:rPr>
          <w:spacing w:val="-3"/>
        </w:rPr>
        <w:t>r</w:t>
      </w:r>
      <w:r w:rsidRPr="00717AF1">
        <w:rPr>
          <w:spacing w:val="1"/>
        </w:rPr>
        <w:t>a</w:t>
      </w:r>
      <w:r w:rsidRPr="00717AF1">
        <w:rPr>
          <w:spacing w:val="-1"/>
        </w:rPr>
        <w:t>i</w:t>
      </w:r>
      <w:r w:rsidRPr="00717AF1">
        <w:rPr>
          <w:spacing w:val="1"/>
        </w:rPr>
        <w:t>n</w:t>
      </w:r>
      <w:r w:rsidRPr="00717AF1">
        <w:rPr>
          <w:spacing w:val="-1"/>
        </w:rPr>
        <w:t>i</w:t>
      </w:r>
      <w:r w:rsidRPr="00717AF1">
        <w:rPr>
          <w:spacing w:val="1"/>
        </w:rPr>
        <w:t>n</w:t>
      </w:r>
      <w:r w:rsidRPr="00717AF1">
        <w:t>g</w:t>
      </w:r>
      <w:r w:rsidRPr="00717AF1">
        <w:rPr>
          <w:spacing w:val="-1"/>
        </w:rPr>
        <w:t xml:space="preserve"> Cl</w:t>
      </w:r>
      <w:r w:rsidRPr="00717AF1">
        <w:rPr>
          <w:spacing w:val="1"/>
        </w:rPr>
        <w:t>a</w:t>
      </w:r>
      <w:r w:rsidRPr="00717AF1">
        <w:t>ss</w:t>
      </w:r>
      <w:r w:rsidRPr="00717AF1">
        <w:rPr>
          <w:spacing w:val="1"/>
        </w:rPr>
        <w:t>e</w:t>
      </w:r>
      <w:r w:rsidRPr="00717AF1">
        <w:t>s</w:t>
      </w:r>
      <w:r w:rsidRPr="00717AF1">
        <w:rPr>
          <w:spacing w:val="1"/>
        </w:rPr>
        <w:t xml:space="preserve"> that are offered by the NIH Training Center </w:t>
      </w:r>
      <w:r w:rsidRPr="00717AF1">
        <w:t>can</w:t>
      </w:r>
      <w:r w:rsidRPr="00717AF1">
        <w:rPr>
          <w:spacing w:val="2"/>
        </w:rPr>
        <w:t xml:space="preserve"> </w:t>
      </w:r>
      <w:r w:rsidRPr="00717AF1">
        <w:rPr>
          <w:spacing w:val="-1"/>
        </w:rPr>
        <w:t>b</w:t>
      </w:r>
      <w:r w:rsidRPr="00717AF1">
        <w:t>e</w:t>
      </w:r>
      <w:r w:rsidRPr="00717AF1">
        <w:rPr>
          <w:spacing w:val="2"/>
        </w:rPr>
        <w:t xml:space="preserve"> </w:t>
      </w:r>
      <w:r w:rsidRPr="00717AF1">
        <w:rPr>
          <w:spacing w:val="1"/>
        </w:rPr>
        <w:t>a</w:t>
      </w:r>
      <w:r w:rsidRPr="00717AF1">
        <w:t>c</w:t>
      </w:r>
      <w:r w:rsidRPr="00717AF1">
        <w:rPr>
          <w:spacing w:val="-2"/>
        </w:rPr>
        <w:t>c</w:t>
      </w:r>
      <w:r w:rsidRPr="00717AF1">
        <w:rPr>
          <w:spacing w:val="1"/>
        </w:rPr>
        <w:t>e</w:t>
      </w:r>
      <w:r w:rsidRPr="00717AF1">
        <w:t>ss</w:t>
      </w:r>
      <w:r w:rsidRPr="00717AF1">
        <w:rPr>
          <w:spacing w:val="-1"/>
        </w:rPr>
        <w:t>e</w:t>
      </w:r>
      <w:r w:rsidRPr="00717AF1">
        <w:t>d</w:t>
      </w:r>
      <w:r w:rsidRPr="00717AF1">
        <w:rPr>
          <w:spacing w:val="2"/>
        </w:rPr>
        <w:t xml:space="preserve"> </w:t>
      </w:r>
      <w:r w:rsidRPr="00717AF1">
        <w:rPr>
          <w:spacing w:val="1"/>
        </w:rPr>
        <w:t>a</w:t>
      </w:r>
      <w:r w:rsidRPr="00717AF1">
        <w:t>t</w:t>
      </w:r>
      <w:r w:rsidRPr="00717AF1">
        <w:rPr>
          <w:spacing w:val="-1"/>
        </w:rPr>
        <w:t xml:space="preserve"> </w:t>
      </w:r>
      <w:r w:rsidRPr="00717AF1">
        <w:rPr>
          <w:spacing w:val="1"/>
        </w:rPr>
        <w:t>th</w:t>
      </w:r>
      <w:r w:rsidRPr="00717AF1">
        <w:t>e</w:t>
      </w:r>
      <w:r w:rsidRPr="00717AF1">
        <w:rPr>
          <w:spacing w:val="-3"/>
        </w:rPr>
        <w:t xml:space="preserve"> </w:t>
      </w:r>
      <w:r w:rsidRPr="00717AF1">
        <w:rPr>
          <w:spacing w:val="3"/>
        </w:rPr>
        <w:t>f</w:t>
      </w:r>
      <w:r w:rsidRPr="00717AF1">
        <w:rPr>
          <w:spacing w:val="1"/>
        </w:rPr>
        <w:t>o</w:t>
      </w:r>
      <w:r w:rsidRPr="00717AF1">
        <w:rPr>
          <w:spacing w:val="-1"/>
        </w:rPr>
        <w:t>ll</w:t>
      </w:r>
      <w:r w:rsidRPr="00717AF1">
        <w:rPr>
          <w:spacing w:val="1"/>
        </w:rPr>
        <w:t>o</w:t>
      </w:r>
      <w:r w:rsidRPr="00717AF1">
        <w:rPr>
          <w:spacing w:val="-3"/>
        </w:rPr>
        <w:t>w</w:t>
      </w:r>
      <w:r w:rsidRPr="00717AF1">
        <w:rPr>
          <w:spacing w:val="-1"/>
        </w:rPr>
        <w:t>i</w:t>
      </w:r>
      <w:r w:rsidRPr="00717AF1">
        <w:rPr>
          <w:spacing w:val="1"/>
        </w:rPr>
        <w:t xml:space="preserve">ng </w:t>
      </w:r>
      <w:r w:rsidRPr="00717AF1">
        <w:t>li</w:t>
      </w:r>
      <w:r w:rsidRPr="00717AF1">
        <w:rPr>
          <w:spacing w:val="1"/>
        </w:rPr>
        <w:t>n</w:t>
      </w:r>
      <w:r w:rsidRPr="00717AF1">
        <w:t xml:space="preserve">k: </w:t>
      </w:r>
      <w:r w:rsidRPr="00717AF1">
        <w:rPr>
          <w:color w:val="0000FF"/>
          <w:spacing w:val="-65"/>
        </w:rPr>
        <w:t xml:space="preserve"> </w:t>
      </w:r>
      <w:hyperlink r:id="rId62" w:tooltip="Acquisition Management Training" w:history="1">
        <w:r w:rsidRPr="00717AF1">
          <w:rPr>
            <w:color w:val="0563C1"/>
            <w:spacing w:val="-1"/>
            <w:u w:val="single"/>
          </w:rPr>
          <w:t>Acquisition Management Training</w:t>
        </w:r>
      </w:hyperlink>
    </w:p>
    <w:p w14:paraId="4474DD39" w14:textId="77777777" w:rsidR="00CF32EE" w:rsidRPr="00717AF1" w:rsidRDefault="00CF32EE" w:rsidP="00CF32EE">
      <w:pPr>
        <w:rPr>
          <w:rFonts w:eastAsia="Times New Roman"/>
        </w:rPr>
      </w:pPr>
      <w:r w:rsidRPr="00717AF1">
        <w:rPr>
          <w:rFonts w:eastAsia="Times New Roman"/>
        </w:rPr>
        <w:t>Federal Acquisition Certification Coursework</w:t>
      </w:r>
    </w:p>
    <w:p w14:paraId="5257A9B9" w14:textId="77777777" w:rsidR="00CF32EE" w:rsidRPr="00717AF1" w:rsidRDefault="00CF32EE" w:rsidP="00CF32EE">
      <w:pPr>
        <w:rPr>
          <w:rFonts w:ascii="Arial" w:hAnsi="Arial" w:cs="Arial"/>
          <w:szCs w:val="24"/>
        </w:rPr>
      </w:pPr>
      <w:r w:rsidRPr="004D1E09">
        <w:t xml:space="preserve">CON courses and other Federal Acquisition Certification required courses can be found at the </w:t>
      </w:r>
      <w:hyperlink r:id="rId63" w:tooltip="NIH Training Center" w:history="1">
        <w:r w:rsidRPr="004D1E09">
          <w:rPr>
            <w:rStyle w:val="Hyperlink"/>
          </w:rPr>
          <w:t>NIH Training Center</w:t>
        </w:r>
      </w:hyperlink>
      <w:r w:rsidRPr="004D1E09">
        <w:t xml:space="preserve">, </w:t>
      </w:r>
      <w:hyperlink r:id="rId64" w:tooltip="Federal Acquisition Institute" w:history="1">
        <w:r w:rsidRPr="004D1E09">
          <w:rPr>
            <w:rStyle w:val="Hyperlink"/>
          </w:rPr>
          <w:t>Federal Acquisition Institute</w:t>
        </w:r>
      </w:hyperlink>
      <w:r w:rsidRPr="004D1E09">
        <w:t xml:space="preserve">, and </w:t>
      </w:r>
      <w:hyperlink r:id="rId65" w:tooltip="Defense Acquisition University" w:history="1">
        <w:r w:rsidRPr="004D1E09">
          <w:rPr>
            <w:rStyle w:val="Hyperlink"/>
          </w:rPr>
          <w:t>Defense Acquisition University</w:t>
        </w:r>
      </w:hyperlink>
      <w:r w:rsidRPr="00717AF1">
        <w:rPr>
          <w:rFonts w:ascii="Arial" w:hAnsi="Arial" w:cs="Arial"/>
          <w:szCs w:val="24"/>
        </w:rPr>
        <w:t>.</w:t>
      </w:r>
    </w:p>
    <w:p w14:paraId="08170C21" w14:textId="77777777" w:rsidR="00CF32EE" w:rsidRPr="00717AF1" w:rsidRDefault="00CF32EE" w:rsidP="00CF32EE">
      <w:r w:rsidRPr="00717AF1">
        <w:t>Section 508 Accessibility Training</w:t>
      </w:r>
    </w:p>
    <w:p w14:paraId="7739135E" w14:textId="77777777" w:rsidR="00CF32EE" w:rsidRPr="00717AF1" w:rsidRDefault="00CF32EE" w:rsidP="00CF32EE">
      <w:r w:rsidRPr="00717AF1">
        <w:t>Section 508 Accessibility Training courses can be accessed at</w:t>
      </w:r>
      <w:bookmarkStart w:id="9" w:name="_Hlk419199521"/>
      <w:r w:rsidRPr="00717AF1">
        <w:t xml:space="preserve">: </w:t>
      </w:r>
      <w:hyperlink r:id="rId66" w:tooltip="CIT 508 Training Webpage" w:history="1">
        <w:bookmarkEnd w:id="9"/>
        <w:r w:rsidRPr="00717AF1">
          <w:rPr>
            <w:color w:val="0563C1"/>
            <w:u w:val="single"/>
          </w:rPr>
          <w:t>CIT Section 508 Accessibility Training Website</w:t>
        </w:r>
      </w:hyperlink>
      <w:r w:rsidRPr="00717AF1">
        <w:t>.</w:t>
      </w:r>
    </w:p>
    <w:p w14:paraId="63A904FE" w14:textId="77777777" w:rsidR="00CF32EE" w:rsidRPr="00717AF1" w:rsidRDefault="00CF32EE" w:rsidP="00CF32EE">
      <w:pPr>
        <w:rPr>
          <w:rFonts w:eastAsia="Times New Roman"/>
        </w:rPr>
      </w:pPr>
      <w:r w:rsidRPr="00717AF1">
        <w:rPr>
          <w:rFonts w:eastAsia="Times New Roman"/>
        </w:rPr>
        <w:t>Green Purchasing Training</w:t>
      </w:r>
    </w:p>
    <w:p w14:paraId="66316A40" w14:textId="77777777" w:rsidR="00CF32EE" w:rsidRPr="001F49D0" w:rsidRDefault="00CF32EE" w:rsidP="001F49D0">
      <w:pPr>
        <w:rPr>
          <w:color w:val="000000"/>
        </w:rPr>
      </w:pPr>
      <w:r w:rsidRPr="00717AF1">
        <w:rPr>
          <w:color w:val="000000"/>
        </w:rPr>
        <w:t xml:space="preserve">Green Purchasing Training and other Green Training courses can be found at: </w:t>
      </w:r>
      <w:hyperlink r:id="rId67" w:tooltip="OALM Green Purchasing Website" w:history="1">
        <w:r w:rsidRPr="00717AF1">
          <w:rPr>
            <w:color w:val="0563C1"/>
            <w:u w:val="single"/>
          </w:rPr>
          <w:t>OALM Green Purchasing Website</w:t>
        </w:r>
      </w:hyperlink>
      <w:r w:rsidRPr="00717AF1">
        <w:rPr>
          <w:color w:val="000000"/>
        </w:rPr>
        <w:t>.</w:t>
      </w:r>
    </w:p>
    <w:p w14:paraId="10C5FB42" w14:textId="77777777" w:rsidR="0043425A" w:rsidRDefault="0043425A" w:rsidP="00CF32EE">
      <w:pPr>
        <w:pStyle w:val="Heading1"/>
        <w:jc w:val="left"/>
        <w:rPr>
          <w:rFonts w:eastAsia="Calibri"/>
          <w:noProof/>
        </w:rPr>
      </w:pPr>
      <w:r>
        <w:rPr>
          <w:rFonts w:eastAsia="Calibri"/>
          <w:noProof/>
        </w:rPr>
        <w:t>News from the BPA Program</w:t>
      </w:r>
    </w:p>
    <w:p w14:paraId="1644DCEF" w14:textId="77777777" w:rsidR="005F2DE6" w:rsidRPr="0043425A" w:rsidRDefault="005F2DE6" w:rsidP="005F2DE6">
      <w:pPr>
        <w:spacing w:line="240" w:lineRule="auto"/>
        <w:contextualSpacing/>
        <w:rPr>
          <w:rFonts w:asciiTheme="minorHAnsi" w:eastAsia="Calibri" w:hAnsiTheme="minorHAnsi" w:cstheme="minorHAnsi"/>
          <w:noProof/>
          <w:szCs w:val="24"/>
        </w:rPr>
      </w:pPr>
      <w:r w:rsidRPr="0043425A">
        <w:rPr>
          <w:rFonts w:asciiTheme="minorHAnsi" w:eastAsia="Calibri" w:hAnsiTheme="minorHAnsi" w:cstheme="minorHAnsi"/>
          <w:noProof/>
          <w:szCs w:val="24"/>
        </w:rPr>
        <w:t>Need to make a quick buy?</w:t>
      </w:r>
    </w:p>
    <w:p w14:paraId="6ADC7B03" w14:textId="77777777" w:rsidR="005F2DE6" w:rsidRPr="0043425A" w:rsidRDefault="005F2DE6" w:rsidP="005F2DE6">
      <w:pPr>
        <w:spacing w:line="240" w:lineRule="auto"/>
        <w:contextualSpacing/>
        <w:rPr>
          <w:rFonts w:asciiTheme="minorHAnsi" w:eastAsia="Calibri" w:hAnsiTheme="minorHAnsi" w:cstheme="minorHAnsi"/>
          <w:noProof/>
          <w:szCs w:val="24"/>
        </w:rPr>
      </w:pPr>
      <w:r w:rsidRPr="0043425A">
        <w:rPr>
          <w:rFonts w:asciiTheme="minorHAnsi" w:eastAsia="Calibri" w:hAnsiTheme="minorHAnsi" w:cstheme="minorHAnsi"/>
          <w:noProof/>
          <w:szCs w:val="24"/>
        </w:rPr>
        <w:t>Looking to create value for your customer?</w:t>
      </w:r>
    </w:p>
    <w:p w14:paraId="27681927" w14:textId="77777777" w:rsidR="005F2DE6" w:rsidRPr="0043425A" w:rsidRDefault="005F2DE6" w:rsidP="005F2DE6">
      <w:pPr>
        <w:spacing w:line="240" w:lineRule="auto"/>
        <w:contextualSpacing/>
        <w:rPr>
          <w:rFonts w:asciiTheme="minorHAnsi" w:eastAsia="Calibri" w:hAnsiTheme="minorHAnsi" w:cstheme="minorHAnsi"/>
          <w:noProof/>
          <w:szCs w:val="24"/>
        </w:rPr>
      </w:pPr>
      <w:r w:rsidRPr="0043425A">
        <w:rPr>
          <w:rFonts w:asciiTheme="minorHAnsi" w:eastAsia="Calibri" w:hAnsiTheme="minorHAnsi" w:cstheme="minorHAnsi"/>
          <w:noProof/>
          <w:szCs w:val="24"/>
        </w:rPr>
        <w:t>Not sure what a BPA is?</w:t>
      </w:r>
    </w:p>
    <w:p w14:paraId="5F99B8C5" w14:textId="17F2901B" w:rsidR="001F49D0" w:rsidRDefault="005F2DE6" w:rsidP="001F49D0">
      <w:pPr>
        <w:spacing w:line="240" w:lineRule="auto"/>
        <w:contextualSpacing/>
        <w:rPr>
          <w:rFonts w:asciiTheme="minorHAnsi" w:eastAsia="Calibri" w:hAnsiTheme="minorHAnsi" w:cstheme="minorHAnsi"/>
          <w:noProof/>
          <w:szCs w:val="24"/>
        </w:rPr>
      </w:pPr>
      <w:r w:rsidRPr="0043425A">
        <w:rPr>
          <w:rFonts w:asciiTheme="minorHAnsi" w:eastAsia="Calibri" w:hAnsiTheme="minorHAnsi" w:cstheme="minorHAnsi"/>
          <w:noProof/>
          <w:szCs w:val="24"/>
        </w:rPr>
        <w:t>Contact the BPA Helpline at 301-496-5212</w:t>
      </w:r>
      <w:r w:rsidR="0000261D">
        <w:rPr>
          <w:rFonts w:asciiTheme="minorHAnsi" w:eastAsia="Calibri" w:hAnsiTheme="minorHAnsi" w:cstheme="minorHAnsi"/>
          <w:noProof/>
          <w:szCs w:val="24"/>
        </w:rPr>
        <w:t xml:space="preserve"> or the Helpdesk </w:t>
      </w:r>
      <w:hyperlink r:id="rId68" w:history="1">
        <w:r w:rsidR="0000261D" w:rsidRPr="00E73EB8">
          <w:rPr>
            <w:rStyle w:val="Hyperlink"/>
            <w:rFonts w:asciiTheme="minorHAnsi" w:eastAsia="Calibri" w:hAnsiTheme="minorHAnsi" w:cstheme="minorHAnsi"/>
            <w:noProof/>
            <w:szCs w:val="24"/>
          </w:rPr>
          <w:t>BPAProgramBranch@od.nih.gov</w:t>
        </w:r>
      </w:hyperlink>
      <w:r w:rsidR="0000261D">
        <w:rPr>
          <w:rFonts w:asciiTheme="minorHAnsi" w:eastAsia="Calibri" w:hAnsiTheme="minorHAnsi" w:cstheme="minorHAnsi"/>
          <w:noProof/>
          <w:szCs w:val="24"/>
        </w:rPr>
        <w:t xml:space="preserve"> </w:t>
      </w:r>
    </w:p>
    <w:p w14:paraId="03AA281E" w14:textId="77777777" w:rsidR="005F2DE6" w:rsidRPr="0043425A" w:rsidRDefault="005F2DE6" w:rsidP="001F49D0">
      <w:pPr>
        <w:pStyle w:val="Heading1"/>
        <w:jc w:val="left"/>
        <w:rPr>
          <w:rFonts w:asciiTheme="minorHAnsi" w:eastAsia="Arial" w:hAnsiTheme="minorHAnsi" w:cstheme="minorHAnsi"/>
          <w:sz w:val="24"/>
          <w:szCs w:val="24"/>
        </w:rPr>
      </w:pPr>
      <w:r w:rsidRPr="0043425A">
        <w:rPr>
          <w:rFonts w:asciiTheme="minorHAnsi" w:eastAsia="Arial" w:hAnsiTheme="minorHAnsi" w:cstheme="minorHAnsi"/>
          <w:sz w:val="24"/>
          <w:szCs w:val="24"/>
        </w:rPr>
        <w:t>NIH</w:t>
      </w:r>
      <w:r w:rsidRPr="0043425A">
        <w:rPr>
          <w:rFonts w:asciiTheme="minorHAnsi" w:eastAsia="Arial" w:hAnsiTheme="minorHAnsi" w:cstheme="minorHAnsi"/>
          <w:spacing w:val="-6"/>
          <w:sz w:val="24"/>
          <w:szCs w:val="24"/>
        </w:rPr>
        <w:t xml:space="preserve"> </w:t>
      </w:r>
      <w:r w:rsidRPr="0043425A">
        <w:rPr>
          <w:rFonts w:asciiTheme="minorHAnsi" w:eastAsia="Arial" w:hAnsiTheme="minorHAnsi" w:cstheme="minorHAnsi"/>
          <w:sz w:val="24"/>
          <w:szCs w:val="24"/>
        </w:rPr>
        <w:t>Bl</w:t>
      </w:r>
      <w:r w:rsidRPr="0043425A">
        <w:rPr>
          <w:rFonts w:asciiTheme="minorHAnsi" w:eastAsia="Arial" w:hAnsiTheme="minorHAnsi" w:cstheme="minorHAnsi"/>
          <w:spacing w:val="2"/>
          <w:sz w:val="24"/>
          <w:szCs w:val="24"/>
        </w:rPr>
        <w:t>a</w:t>
      </w:r>
      <w:r w:rsidRPr="0043425A">
        <w:rPr>
          <w:rFonts w:asciiTheme="minorHAnsi" w:eastAsia="Arial" w:hAnsiTheme="minorHAnsi" w:cstheme="minorHAnsi"/>
          <w:sz w:val="24"/>
          <w:szCs w:val="24"/>
        </w:rPr>
        <w:t>nket</w:t>
      </w:r>
      <w:r w:rsidRPr="0043425A">
        <w:rPr>
          <w:rFonts w:asciiTheme="minorHAnsi" w:eastAsia="Arial" w:hAnsiTheme="minorHAnsi" w:cstheme="minorHAnsi"/>
          <w:spacing w:val="-13"/>
          <w:sz w:val="24"/>
          <w:szCs w:val="24"/>
        </w:rPr>
        <w:t xml:space="preserve"> </w:t>
      </w:r>
      <w:r w:rsidRPr="0043425A">
        <w:rPr>
          <w:rFonts w:asciiTheme="minorHAnsi" w:eastAsia="Arial" w:hAnsiTheme="minorHAnsi" w:cstheme="minorHAnsi"/>
          <w:spacing w:val="3"/>
          <w:sz w:val="24"/>
          <w:szCs w:val="24"/>
        </w:rPr>
        <w:t>P</w:t>
      </w:r>
      <w:r w:rsidRPr="0043425A">
        <w:rPr>
          <w:rFonts w:asciiTheme="minorHAnsi" w:eastAsia="Arial" w:hAnsiTheme="minorHAnsi" w:cstheme="minorHAnsi"/>
          <w:sz w:val="24"/>
          <w:szCs w:val="24"/>
        </w:rPr>
        <w:t>u</w:t>
      </w:r>
      <w:r w:rsidRPr="0043425A">
        <w:rPr>
          <w:rFonts w:asciiTheme="minorHAnsi" w:eastAsia="Arial" w:hAnsiTheme="minorHAnsi" w:cstheme="minorHAnsi"/>
          <w:spacing w:val="2"/>
          <w:sz w:val="24"/>
          <w:szCs w:val="24"/>
        </w:rPr>
        <w:t>r</w:t>
      </w:r>
      <w:r w:rsidRPr="0043425A">
        <w:rPr>
          <w:rFonts w:asciiTheme="minorHAnsi" w:eastAsia="Arial" w:hAnsiTheme="minorHAnsi" w:cstheme="minorHAnsi"/>
          <w:sz w:val="24"/>
          <w:szCs w:val="24"/>
        </w:rPr>
        <w:t>chase</w:t>
      </w:r>
      <w:r w:rsidRPr="0043425A">
        <w:rPr>
          <w:rFonts w:asciiTheme="minorHAnsi" w:eastAsia="Arial" w:hAnsiTheme="minorHAnsi" w:cstheme="minorHAnsi"/>
          <w:spacing w:val="-10"/>
          <w:sz w:val="24"/>
          <w:szCs w:val="24"/>
        </w:rPr>
        <w:t xml:space="preserve"> </w:t>
      </w:r>
      <w:r w:rsidRPr="0043425A">
        <w:rPr>
          <w:rFonts w:asciiTheme="minorHAnsi" w:eastAsia="Arial" w:hAnsiTheme="minorHAnsi" w:cstheme="minorHAnsi"/>
          <w:spacing w:val="-5"/>
          <w:sz w:val="24"/>
          <w:szCs w:val="24"/>
        </w:rPr>
        <w:t>A</w:t>
      </w:r>
      <w:r w:rsidRPr="0043425A">
        <w:rPr>
          <w:rFonts w:asciiTheme="minorHAnsi" w:eastAsia="Arial" w:hAnsiTheme="minorHAnsi" w:cstheme="minorHAnsi"/>
          <w:spacing w:val="2"/>
          <w:sz w:val="24"/>
          <w:szCs w:val="24"/>
        </w:rPr>
        <w:t>g</w:t>
      </w:r>
      <w:r w:rsidRPr="0043425A">
        <w:rPr>
          <w:rFonts w:asciiTheme="minorHAnsi" w:eastAsia="Arial" w:hAnsiTheme="minorHAnsi" w:cstheme="minorHAnsi"/>
          <w:sz w:val="24"/>
          <w:szCs w:val="24"/>
        </w:rPr>
        <w:t>re</w:t>
      </w:r>
      <w:r w:rsidRPr="0043425A">
        <w:rPr>
          <w:rFonts w:asciiTheme="minorHAnsi" w:eastAsia="Arial" w:hAnsiTheme="minorHAnsi" w:cstheme="minorHAnsi"/>
          <w:spacing w:val="3"/>
          <w:sz w:val="24"/>
          <w:szCs w:val="24"/>
        </w:rPr>
        <w:t>e</w:t>
      </w:r>
      <w:r w:rsidRPr="0043425A">
        <w:rPr>
          <w:rFonts w:asciiTheme="minorHAnsi" w:eastAsia="Arial" w:hAnsiTheme="minorHAnsi" w:cstheme="minorHAnsi"/>
          <w:sz w:val="24"/>
          <w:szCs w:val="24"/>
        </w:rPr>
        <w:t>m</w:t>
      </w:r>
      <w:r w:rsidRPr="0043425A">
        <w:rPr>
          <w:rFonts w:asciiTheme="minorHAnsi" w:eastAsia="Arial" w:hAnsiTheme="minorHAnsi" w:cstheme="minorHAnsi"/>
          <w:spacing w:val="2"/>
          <w:sz w:val="24"/>
          <w:szCs w:val="24"/>
        </w:rPr>
        <w:t>e</w:t>
      </w:r>
      <w:r w:rsidRPr="0043425A">
        <w:rPr>
          <w:rFonts w:asciiTheme="minorHAnsi" w:eastAsia="Arial" w:hAnsiTheme="minorHAnsi" w:cstheme="minorHAnsi"/>
          <w:sz w:val="24"/>
          <w:szCs w:val="24"/>
        </w:rPr>
        <w:t>nt</w:t>
      </w:r>
      <w:r w:rsidRPr="0043425A">
        <w:rPr>
          <w:rFonts w:asciiTheme="minorHAnsi" w:eastAsia="Arial" w:hAnsiTheme="minorHAnsi" w:cstheme="minorHAnsi"/>
          <w:spacing w:val="-18"/>
          <w:sz w:val="24"/>
          <w:szCs w:val="24"/>
        </w:rPr>
        <w:t xml:space="preserve"> </w:t>
      </w:r>
      <w:r w:rsidRPr="0043425A">
        <w:rPr>
          <w:rFonts w:asciiTheme="minorHAnsi" w:eastAsia="Arial" w:hAnsiTheme="minorHAnsi" w:cstheme="minorHAnsi"/>
          <w:spacing w:val="2"/>
          <w:sz w:val="24"/>
          <w:szCs w:val="24"/>
        </w:rPr>
        <w:t>(</w:t>
      </w:r>
      <w:r w:rsidRPr="0043425A">
        <w:rPr>
          <w:rFonts w:asciiTheme="minorHAnsi" w:eastAsia="Arial" w:hAnsiTheme="minorHAnsi" w:cstheme="minorHAnsi"/>
          <w:sz w:val="24"/>
          <w:szCs w:val="24"/>
        </w:rPr>
        <w:t>B</w:t>
      </w:r>
      <w:r w:rsidRPr="0043425A">
        <w:rPr>
          <w:rFonts w:asciiTheme="minorHAnsi" w:eastAsia="Arial" w:hAnsiTheme="minorHAnsi" w:cstheme="minorHAnsi"/>
          <w:spacing w:val="5"/>
          <w:sz w:val="24"/>
          <w:szCs w:val="24"/>
        </w:rPr>
        <w:t>P</w:t>
      </w:r>
      <w:r w:rsidRPr="0043425A">
        <w:rPr>
          <w:rFonts w:asciiTheme="minorHAnsi" w:eastAsia="Arial" w:hAnsiTheme="minorHAnsi" w:cstheme="minorHAnsi"/>
          <w:spacing w:val="-7"/>
          <w:sz w:val="24"/>
          <w:szCs w:val="24"/>
        </w:rPr>
        <w:t>A</w:t>
      </w:r>
      <w:r w:rsidRPr="0043425A">
        <w:rPr>
          <w:rFonts w:asciiTheme="minorHAnsi" w:eastAsia="Arial" w:hAnsiTheme="minorHAnsi" w:cstheme="minorHAnsi"/>
          <w:sz w:val="24"/>
          <w:szCs w:val="24"/>
        </w:rPr>
        <w:t>)</w:t>
      </w:r>
      <w:r w:rsidRPr="0043425A">
        <w:rPr>
          <w:rFonts w:asciiTheme="minorHAnsi" w:eastAsia="Arial" w:hAnsiTheme="minorHAnsi" w:cstheme="minorHAnsi"/>
          <w:spacing w:val="-6"/>
          <w:sz w:val="24"/>
          <w:szCs w:val="24"/>
        </w:rPr>
        <w:t xml:space="preserve"> </w:t>
      </w:r>
      <w:r w:rsidRPr="0043425A">
        <w:rPr>
          <w:rFonts w:asciiTheme="minorHAnsi" w:eastAsia="Arial" w:hAnsiTheme="minorHAnsi" w:cstheme="minorHAnsi"/>
          <w:sz w:val="24"/>
          <w:szCs w:val="24"/>
        </w:rPr>
        <w:t>Lis</w:t>
      </w:r>
      <w:r w:rsidRPr="0043425A">
        <w:rPr>
          <w:rFonts w:asciiTheme="minorHAnsi" w:eastAsia="Arial" w:hAnsiTheme="minorHAnsi" w:cstheme="minorHAnsi"/>
          <w:spacing w:val="1"/>
          <w:sz w:val="24"/>
          <w:szCs w:val="24"/>
        </w:rPr>
        <w:t>t</w:t>
      </w:r>
      <w:r w:rsidRPr="0043425A">
        <w:rPr>
          <w:rFonts w:asciiTheme="minorHAnsi" w:eastAsia="Arial" w:hAnsiTheme="minorHAnsi" w:cstheme="minorHAnsi"/>
          <w:sz w:val="24"/>
          <w:szCs w:val="24"/>
        </w:rPr>
        <w:t>s</w:t>
      </w:r>
      <w:r w:rsidRPr="0043425A">
        <w:rPr>
          <w:rFonts w:asciiTheme="minorHAnsi" w:eastAsia="Arial" w:hAnsiTheme="minorHAnsi" w:cstheme="minorHAnsi"/>
          <w:spacing w:val="-2"/>
          <w:sz w:val="24"/>
          <w:szCs w:val="24"/>
        </w:rPr>
        <w:t xml:space="preserve"> </w:t>
      </w:r>
      <w:r w:rsidRPr="0043425A">
        <w:rPr>
          <w:rFonts w:asciiTheme="minorHAnsi" w:eastAsia="Arial" w:hAnsiTheme="minorHAnsi" w:cstheme="minorHAnsi"/>
          <w:spacing w:val="-3"/>
          <w:sz w:val="24"/>
          <w:szCs w:val="24"/>
        </w:rPr>
        <w:t>A</w:t>
      </w:r>
      <w:r w:rsidRPr="0043425A">
        <w:rPr>
          <w:rFonts w:asciiTheme="minorHAnsi" w:eastAsia="Arial" w:hAnsiTheme="minorHAnsi" w:cstheme="minorHAnsi"/>
          <w:spacing w:val="-5"/>
          <w:sz w:val="24"/>
          <w:szCs w:val="24"/>
        </w:rPr>
        <w:t>v</w:t>
      </w:r>
      <w:r w:rsidRPr="0043425A">
        <w:rPr>
          <w:rFonts w:asciiTheme="minorHAnsi" w:eastAsia="Arial" w:hAnsiTheme="minorHAnsi" w:cstheme="minorHAnsi"/>
          <w:spacing w:val="2"/>
          <w:sz w:val="24"/>
          <w:szCs w:val="24"/>
        </w:rPr>
        <w:t>a</w:t>
      </w:r>
      <w:r w:rsidRPr="0043425A">
        <w:rPr>
          <w:rFonts w:asciiTheme="minorHAnsi" w:eastAsia="Arial" w:hAnsiTheme="minorHAnsi" w:cstheme="minorHAnsi"/>
          <w:sz w:val="24"/>
          <w:szCs w:val="24"/>
        </w:rPr>
        <w:t>i</w:t>
      </w:r>
      <w:r w:rsidRPr="0043425A">
        <w:rPr>
          <w:rFonts w:asciiTheme="minorHAnsi" w:eastAsia="Arial" w:hAnsiTheme="minorHAnsi" w:cstheme="minorHAnsi"/>
          <w:spacing w:val="2"/>
          <w:sz w:val="24"/>
          <w:szCs w:val="24"/>
        </w:rPr>
        <w:t>l</w:t>
      </w:r>
      <w:r w:rsidRPr="0043425A">
        <w:rPr>
          <w:rFonts w:asciiTheme="minorHAnsi" w:eastAsia="Arial" w:hAnsiTheme="minorHAnsi" w:cstheme="minorHAnsi"/>
          <w:sz w:val="24"/>
          <w:szCs w:val="24"/>
        </w:rPr>
        <w:t>able</w:t>
      </w:r>
      <w:r w:rsidRPr="0043425A">
        <w:rPr>
          <w:rFonts w:asciiTheme="minorHAnsi" w:eastAsia="Arial" w:hAnsiTheme="minorHAnsi" w:cstheme="minorHAnsi"/>
          <w:spacing w:val="-12"/>
          <w:sz w:val="24"/>
          <w:szCs w:val="24"/>
        </w:rPr>
        <w:t xml:space="preserve"> </w:t>
      </w:r>
      <w:r w:rsidRPr="0043425A">
        <w:rPr>
          <w:rFonts w:asciiTheme="minorHAnsi" w:eastAsia="Arial" w:hAnsiTheme="minorHAnsi" w:cstheme="minorHAnsi"/>
          <w:spacing w:val="-1"/>
          <w:sz w:val="24"/>
          <w:szCs w:val="24"/>
        </w:rPr>
        <w:t>O</w:t>
      </w:r>
      <w:r w:rsidRPr="0043425A">
        <w:rPr>
          <w:rFonts w:asciiTheme="minorHAnsi" w:eastAsia="Arial" w:hAnsiTheme="minorHAnsi" w:cstheme="minorHAnsi"/>
          <w:sz w:val="24"/>
          <w:szCs w:val="24"/>
        </w:rPr>
        <w:t>n</w:t>
      </w:r>
      <w:r w:rsidRPr="0043425A">
        <w:rPr>
          <w:rFonts w:asciiTheme="minorHAnsi" w:eastAsia="Arial" w:hAnsiTheme="minorHAnsi" w:cstheme="minorHAnsi"/>
          <w:spacing w:val="2"/>
          <w:sz w:val="24"/>
          <w:szCs w:val="24"/>
        </w:rPr>
        <w:t>l</w:t>
      </w:r>
      <w:r w:rsidRPr="0043425A">
        <w:rPr>
          <w:rFonts w:asciiTheme="minorHAnsi" w:eastAsia="Arial" w:hAnsiTheme="minorHAnsi" w:cstheme="minorHAnsi"/>
          <w:sz w:val="24"/>
          <w:szCs w:val="24"/>
        </w:rPr>
        <w:t>ine</w:t>
      </w:r>
    </w:p>
    <w:p w14:paraId="31D1BD39" w14:textId="77777777" w:rsidR="005F2DE6" w:rsidRPr="0043425A" w:rsidRDefault="005F2DE6" w:rsidP="005F2DE6">
      <w:pPr>
        <w:spacing w:after="0"/>
        <w:ind w:right="-20"/>
        <w:rPr>
          <w:rFonts w:asciiTheme="minorHAnsi" w:eastAsia="Arial" w:hAnsiTheme="minorHAnsi" w:cstheme="minorHAnsi"/>
          <w:szCs w:val="24"/>
        </w:rPr>
      </w:pPr>
      <w:r w:rsidRPr="0043425A">
        <w:rPr>
          <w:rFonts w:asciiTheme="minorHAnsi" w:eastAsia="Arial" w:hAnsiTheme="minorHAnsi" w:cstheme="minorHAnsi"/>
          <w:spacing w:val="1"/>
          <w:szCs w:val="24"/>
        </w:rPr>
        <w:t>L</w:t>
      </w:r>
      <w:r w:rsidRPr="0043425A">
        <w:rPr>
          <w:rFonts w:asciiTheme="minorHAnsi" w:eastAsia="Arial" w:hAnsiTheme="minorHAnsi" w:cstheme="minorHAnsi"/>
          <w:szCs w:val="24"/>
        </w:rPr>
        <w:t xml:space="preserve">ists </w:t>
      </w:r>
      <w:r w:rsidRPr="0043425A">
        <w:rPr>
          <w:rFonts w:asciiTheme="minorHAnsi" w:eastAsia="Arial" w:hAnsiTheme="minorHAnsi" w:cstheme="minorHAnsi"/>
          <w:spacing w:val="-1"/>
          <w:szCs w:val="24"/>
        </w:rPr>
        <w:t>o</w:t>
      </w:r>
      <w:r w:rsidRPr="0043425A">
        <w:rPr>
          <w:rFonts w:asciiTheme="minorHAnsi" w:eastAsia="Arial" w:hAnsiTheme="minorHAnsi" w:cstheme="minorHAnsi"/>
          <w:szCs w:val="24"/>
        </w:rPr>
        <w:t>f</w:t>
      </w:r>
      <w:r w:rsidRPr="0043425A">
        <w:rPr>
          <w:rFonts w:asciiTheme="minorHAnsi" w:eastAsia="Arial" w:hAnsiTheme="minorHAnsi" w:cstheme="minorHAnsi"/>
          <w:spacing w:val="1"/>
          <w:szCs w:val="24"/>
        </w:rPr>
        <w:t xml:space="preserve"> a</w:t>
      </w:r>
      <w:r w:rsidRPr="0043425A">
        <w:rPr>
          <w:rFonts w:asciiTheme="minorHAnsi" w:eastAsia="Arial" w:hAnsiTheme="minorHAnsi" w:cstheme="minorHAnsi"/>
          <w:szCs w:val="24"/>
        </w:rPr>
        <w:t>ll</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zCs w:val="24"/>
        </w:rPr>
        <w:t xml:space="preserve">NIH </w:t>
      </w:r>
      <w:r w:rsidRPr="0043425A">
        <w:rPr>
          <w:rFonts w:asciiTheme="minorHAnsi" w:eastAsia="Arial" w:hAnsiTheme="minorHAnsi" w:cstheme="minorHAnsi"/>
          <w:spacing w:val="1"/>
          <w:szCs w:val="24"/>
        </w:rPr>
        <w:t>B</w:t>
      </w:r>
      <w:r w:rsidRPr="0043425A">
        <w:rPr>
          <w:rFonts w:asciiTheme="minorHAnsi" w:eastAsia="Arial" w:hAnsiTheme="minorHAnsi" w:cstheme="minorHAnsi"/>
          <w:szCs w:val="24"/>
        </w:rPr>
        <w:t>la</w:t>
      </w:r>
      <w:r w:rsidRPr="0043425A">
        <w:rPr>
          <w:rFonts w:asciiTheme="minorHAnsi" w:eastAsia="Arial" w:hAnsiTheme="minorHAnsi" w:cstheme="minorHAnsi"/>
          <w:spacing w:val="1"/>
          <w:szCs w:val="24"/>
        </w:rPr>
        <w:t>n</w:t>
      </w:r>
      <w:r w:rsidRPr="0043425A">
        <w:rPr>
          <w:rFonts w:asciiTheme="minorHAnsi" w:eastAsia="Arial" w:hAnsiTheme="minorHAnsi" w:cstheme="minorHAnsi"/>
          <w:spacing w:val="-2"/>
          <w:szCs w:val="24"/>
        </w:rPr>
        <w:t>k</w:t>
      </w:r>
      <w:r w:rsidRPr="0043425A">
        <w:rPr>
          <w:rFonts w:asciiTheme="minorHAnsi" w:eastAsia="Arial" w:hAnsiTheme="minorHAnsi" w:cstheme="minorHAnsi"/>
          <w:spacing w:val="3"/>
          <w:szCs w:val="24"/>
        </w:rPr>
        <w:t>e</w:t>
      </w:r>
      <w:r w:rsidRPr="0043425A">
        <w:rPr>
          <w:rFonts w:asciiTheme="minorHAnsi" w:eastAsia="Arial" w:hAnsiTheme="minorHAnsi" w:cstheme="minorHAnsi"/>
          <w:szCs w:val="24"/>
        </w:rPr>
        <w:t>t</w:t>
      </w:r>
      <w:r w:rsidRPr="0043425A">
        <w:rPr>
          <w:rFonts w:asciiTheme="minorHAnsi" w:eastAsia="Arial" w:hAnsiTheme="minorHAnsi" w:cstheme="minorHAnsi"/>
          <w:spacing w:val="-2"/>
          <w:szCs w:val="24"/>
        </w:rPr>
        <w:t xml:space="preserve"> </w:t>
      </w:r>
      <w:r w:rsidRPr="0043425A">
        <w:rPr>
          <w:rFonts w:asciiTheme="minorHAnsi" w:eastAsia="Arial" w:hAnsiTheme="minorHAnsi" w:cstheme="minorHAnsi"/>
          <w:spacing w:val="1"/>
          <w:szCs w:val="24"/>
        </w:rPr>
        <w:t>Pu</w:t>
      </w:r>
      <w:r w:rsidRPr="0043425A">
        <w:rPr>
          <w:rFonts w:asciiTheme="minorHAnsi" w:eastAsia="Arial" w:hAnsiTheme="minorHAnsi" w:cstheme="minorHAnsi"/>
          <w:szCs w:val="24"/>
        </w:rPr>
        <w:t>rch</w:t>
      </w:r>
      <w:r w:rsidRPr="0043425A">
        <w:rPr>
          <w:rFonts w:asciiTheme="minorHAnsi" w:eastAsia="Arial" w:hAnsiTheme="minorHAnsi" w:cstheme="minorHAnsi"/>
          <w:spacing w:val="1"/>
          <w:szCs w:val="24"/>
        </w:rPr>
        <w:t>a</w:t>
      </w:r>
      <w:r w:rsidRPr="0043425A">
        <w:rPr>
          <w:rFonts w:asciiTheme="minorHAnsi" w:eastAsia="Arial" w:hAnsiTheme="minorHAnsi" w:cstheme="minorHAnsi"/>
          <w:spacing w:val="-2"/>
          <w:szCs w:val="24"/>
        </w:rPr>
        <w:t>s</w:t>
      </w:r>
      <w:r w:rsidRPr="0043425A">
        <w:rPr>
          <w:rFonts w:asciiTheme="minorHAnsi" w:eastAsia="Arial" w:hAnsiTheme="minorHAnsi" w:cstheme="minorHAnsi"/>
          <w:szCs w:val="24"/>
        </w:rPr>
        <w:t>e</w:t>
      </w:r>
      <w:r w:rsidRPr="0043425A">
        <w:rPr>
          <w:rFonts w:asciiTheme="minorHAnsi" w:eastAsia="Arial" w:hAnsiTheme="minorHAnsi" w:cstheme="minorHAnsi"/>
          <w:spacing w:val="1"/>
          <w:szCs w:val="24"/>
        </w:rPr>
        <w:t xml:space="preserve"> A</w:t>
      </w:r>
      <w:r w:rsidRPr="0043425A">
        <w:rPr>
          <w:rFonts w:asciiTheme="minorHAnsi" w:eastAsia="Arial" w:hAnsiTheme="minorHAnsi" w:cstheme="minorHAnsi"/>
          <w:spacing w:val="-1"/>
          <w:szCs w:val="24"/>
        </w:rPr>
        <w:t>g</w:t>
      </w:r>
      <w:r w:rsidRPr="0043425A">
        <w:rPr>
          <w:rFonts w:asciiTheme="minorHAnsi" w:eastAsia="Arial" w:hAnsiTheme="minorHAnsi" w:cstheme="minorHAnsi"/>
          <w:szCs w:val="24"/>
        </w:rPr>
        <w:t>re</w:t>
      </w:r>
      <w:r w:rsidRPr="0043425A">
        <w:rPr>
          <w:rFonts w:asciiTheme="minorHAnsi" w:eastAsia="Arial" w:hAnsiTheme="minorHAnsi" w:cstheme="minorHAnsi"/>
          <w:spacing w:val="-1"/>
          <w:szCs w:val="24"/>
        </w:rPr>
        <w:t>e</w:t>
      </w:r>
      <w:r w:rsidRPr="0043425A">
        <w:rPr>
          <w:rFonts w:asciiTheme="minorHAnsi" w:eastAsia="Arial" w:hAnsiTheme="minorHAnsi" w:cstheme="minorHAnsi"/>
          <w:spacing w:val="1"/>
          <w:szCs w:val="24"/>
        </w:rPr>
        <w:t>m</w:t>
      </w:r>
      <w:r w:rsidRPr="0043425A">
        <w:rPr>
          <w:rFonts w:asciiTheme="minorHAnsi" w:eastAsia="Arial" w:hAnsiTheme="minorHAnsi" w:cstheme="minorHAnsi"/>
          <w:spacing w:val="-1"/>
          <w:szCs w:val="24"/>
        </w:rPr>
        <w:t>e</w:t>
      </w:r>
      <w:r w:rsidRPr="0043425A">
        <w:rPr>
          <w:rFonts w:asciiTheme="minorHAnsi" w:eastAsia="Arial" w:hAnsiTheme="minorHAnsi" w:cstheme="minorHAnsi"/>
          <w:spacing w:val="1"/>
          <w:szCs w:val="24"/>
        </w:rPr>
        <w:t>n</w:t>
      </w:r>
      <w:r w:rsidRPr="0043425A">
        <w:rPr>
          <w:rFonts w:asciiTheme="minorHAnsi" w:eastAsia="Arial" w:hAnsiTheme="minorHAnsi" w:cstheme="minorHAnsi"/>
          <w:szCs w:val="24"/>
        </w:rPr>
        <w:t>ts</w:t>
      </w:r>
      <w:r w:rsidRPr="0043425A">
        <w:rPr>
          <w:rFonts w:asciiTheme="minorHAnsi" w:eastAsia="Arial" w:hAnsiTheme="minorHAnsi" w:cstheme="minorHAnsi"/>
          <w:spacing w:val="-2"/>
          <w:szCs w:val="24"/>
        </w:rPr>
        <w:t xml:space="preserve"> </w:t>
      </w:r>
      <w:r w:rsidRPr="0043425A">
        <w:rPr>
          <w:rFonts w:asciiTheme="minorHAnsi" w:eastAsia="Arial" w:hAnsiTheme="minorHAnsi" w:cstheme="minorHAnsi"/>
          <w:szCs w:val="24"/>
        </w:rPr>
        <w:t>(B</w:t>
      </w:r>
      <w:r w:rsidRPr="0043425A">
        <w:rPr>
          <w:rFonts w:asciiTheme="minorHAnsi" w:eastAsia="Arial" w:hAnsiTheme="minorHAnsi" w:cstheme="minorHAnsi"/>
          <w:spacing w:val="1"/>
          <w:szCs w:val="24"/>
        </w:rPr>
        <w:t>P</w:t>
      </w:r>
      <w:r w:rsidRPr="0043425A">
        <w:rPr>
          <w:rFonts w:asciiTheme="minorHAnsi" w:eastAsia="Arial" w:hAnsiTheme="minorHAnsi" w:cstheme="minorHAnsi"/>
          <w:szCs w:val="24"/>
        </w:rPr>
        <w:t>As) can</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1"/>
          <w:szCs w:val="24"/>
        </w:rPr>
        <w:t>b</w:t>
      </w:r>
      <w:r w:rsidRPr="0043425A">
        <w:rPr>
          <w:rFonts w:asciiTheme="minorHAnsi" w:eastAsia="Arial" w:hAnsiTheme="minorHAnsi" w:cstheme="minorHAnsi"/>
          <w:szCs w:val="24"/>
        </w:rPr>
        <w:t>e</w:t>
      </w:r>
      <w:r w:rsidRPr="0043425A">
        <w:rPr>
          <w:rFonts w:asciiTheme="minorHAnsi" w:eastAsia="Arial" w:hAnsiTheme="minorHAnsi" w:cstheme="minorHAnsi"/>
          <w:spacing w:val="-3"/>
          <w:szCs w:val="24"/>
        </w:rPr>
        <w:t xml:space="preserve"> </w:t>
      </w:r>
      <w:r w:rsidRPr="0043425A">
        <w:rPr>
          <w:rFonts w:asciiTheme="minorHAnsi" w:eastAsia="Arial" w:hAnsiTheme="minorHAnsi" w:cstheme="minorHAnsi"/>
          <w:spacing w:val="3"/>
          <w:szCs w:val="24"/>
        </w:rPr>
        <w:t>f</w:t>
      </w:r>
      <w:r w:rsidRPr="0043425A">
        <w:rPr>
          <w:rFonts w:asciiTheme="minorHAnsi" w:eastAsia="Arial" w:hAnsiTheme="minorHAnsi" w:cstheme="minorHAnsi"/>
          <w:spacing w:val="-1"/>
          <w:szCs w:val="24"/>
        </w:rPr>
        <w:t>o</w:t>
      </w:r>
      <w:r w:rsidRPr="0043425A">
        <w:rPr>
          <w:rFonts w:asciiTheme="minorHAnsi" w:eastAsia="Arial" w:hAnsiTheme="minorHAnsi" w:cstheme="minorHAnsi"/>
          <w:spacing w:val="1"/>
          <w:szCs w:val="24"/>
        </w:rPr>
        <w:t>un</w:t>
      </w:r>
      <w:r w:rsidRPr="0043425A">
        <w:rPr>
          <w:rFonts w:asciiTheme="minorHAnsi" w:eastAsia="Arial" w:hAnsiTheme="minorHAnsi" w:cstheme="minorHAnsi"/>
          <w:szCs w:val="24"/>
        </w:rPr>
        <w:t>d</w:t>
      </w:r>
      <w:r w:rsidRPr="0043425A">
        <w:rPr>
          <w:rFonts w:asciiTheme="minorHAnsi" w:eastAsia="Arial" w:hAnsiTheme="minorHAnsi" w:cstheme="minorHAnsi"/>
          <w:spacing w:val="-3"/>
          <w:szCs w:val="24"/>
        </w:rPr>
        <w:t xml:space="preserve"> </w:t>
      </w:r>
      <w:r w:rsidRPr="0043425A">
        <w:rPr>
          <w:rFonts w:asciiTheme="minorHAnsi" w:eastAsia="Arial" w:hAnsiTheme="minorHAnsi" w:cstheme="minorHAnsi"/>
          <w:spacing w:val="1"/>
          <w:szCs w:val="24"/>
        </w:rPr>
        <w:t>a</w:t>
      </w:r>
      <w:r w:rsidRPr="0043425A">
        <w:rPr>
          <w:rFonts w:asciiTheme="minorHAnsi" w:eastAsia="Arial" w:hAnsiTheme="minorHAnsi" w:cstheme="minorHAnsi"/>
          <w:szCs w:val="24"/>
        </w:rPr>
        <w:t>t</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zCs w:val="24"/>
        </w:rPr>
        <w:t>t</w:t>
      </w:r>
      <w:r w:rsidRPr="0043425A">
        <w:rPr>
          <w:rFonts w:asciiTheme="minorHAnsi" w:eastAsia="Arial" w:hAnsiTheme="minorHAnsi" w:cstheme="minorHAnsi"/>
          <w:spacing w:val="-1"/>
          <w:szCs w:val="24"/>
        </w:rPr>
        <w:t>h</w:t>
      </w:r>
      <w:r w:rsidRPr="0043425A">
        <w:rPr>
          <w:rFonts w:asciiTheme="minorHAnsi" w:eastAsia="Arial" w:hAnsiTheme="minorHAnsi" w:cstheme="minorHAnsi"/>
          <w:szCs w:val="24"/>
        </w:rPr>
        <w:t xml:space="preserve">e </w:t>
      </w:r>
      <w:r w:rsidRPr="0043425A">
        <w:rPr>
          <w:rFonts w:asciiTheme="minorHAnsi" w:hAnsiTheme="minorHAnsi" w:cstheme="minorHAnsi"/>
          <w:szCs w:val="24"/>
        </w:rPr>
        <w:t xml:space="preserve">NIH </w:t>
      </w:r>
      <w:hyperlink r:id="rId69" w:tooltip="Blanket Purchase Agreement Homepage" w:history="1">
        <w:r w:rsidRPr="0043425A">
          <w:rPr>
            <w:rStyle w:val="Hyperlink"/>
            <w:rFonts w:asciiTheme="minorHAnsi" w:hAnsiTheme="minorHAnsi" w:cstheme="minorHAnsi"/>
            <w:szCs w:val="24"/>
          </w:rPr>
          <w:t>Blanket Purchase Agreement Homepage</w:t>
        </w:r>
      </w:hyperlink>
      <w:r w:rsidRPr="0043425A">
        <w:rPr>
          <w:rFonts w:asciiTheme="minorHAnsi" w:eastAsia="Arial" w:hAnsiTheme="minorHAnsi" w:cstheme="minorHAnsi"/>
          <w:color w:val="000000"/>
          <w:position w:val="-1"/>
          <w:szCs w:val="24"/>
        </w:rPr>
        <w:t>.</w:t>
      </w:r>
    </w:p>
    <w:p w14:paraId="565501A2" w14:textId="77777777" w:rsidR="005F2DE6" w:rsidRPr="0043425A" w:rsidRDefault="005F2DE6" w:rsidP="001F49D0">
      <w:pPr>
        <w:spacing w:before="29"/>
        <w:ind w:right="-14"/>
        <w:rPr>
          <w:rFonts w:asciiTheme="minorHAnsi" w:eastAsia="Arial" w:hAnsiTheme="minorHAnsi" w:cstheme="minorHAnsi"/>
          <w:szCs w:val="24"/>
        </w:rPr>
      </w:pPr>
      <w:r w:rsidRPr="0043425A">
        <w:rPr>
          <w:rFonts w:asciiTheme="minorHAnsi" w:eastAsia="Arial" w:hAnsiTheme="minorHAnsi" w:cstheme="minorHAnsi"/>
          <w:spacing w:val="2"/>
          <w:szCs w:val="24"/>
        </w:rPr>
        <w:t>T</w:t>
      </w:r>
      <w:r w:rsidRPr="0043425A">
        <w:rPr>
          <w:rFonts w:asciiTheme="minorHAnsi" w:eastAsia="Arial" w:hAnsiTheme="minorHAnsi" w:cstheme="minorHAnsi"/>
          <w:spacing w:val="1"/>
          <w:szCs w:val="24"/>
        </w:rPr>
        <w:t>h</w:t>
      </w:r>
      <w:r w:rsidRPr="0043425A">
        <w:rPr>
          <w:rFonts w:asciiTheme="minorHAnsi" w:eastAsia="Arial" w:hAnsiTheme="minorHAnsi" w:cstheme="minorHAnsi"/>
          <w:szCs w:val="24"/>
        </w:rPr>
        <w:t>is website</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zCs w:val="24"/>
        </w:rPr>
        <w:t>c</w:t>
      </w:r>
      <w:r w:rsidRPr="0043425A">
        <w:rPr>
          <w:rFonts w:asciiTheme="minorHAnsi" w:eastAsia="Arial" w:hAnsiTheme="minorHAnsi" w:cstheme="minorHAnsi"/>
          <w:spacing w:val="-1"/>
          <w:szCs w:val="24"/>
        </w:rPr>
        <w:t>o</w:t>
      </w:r>
      <w:r w:rsidRPr="0043425A">
        <w:rPr>
          <w:rFonts w:asciiTheme="minorHAnsi" w:eastAsia="Arial" w:hAnsiTheme="minorHAnsi" w:cstheme="minorHAnsi"/>
          <w:spacing w:val="1"/>
          <w:szCs w:val="24"/>
        </w:rPr>
        <w:t>n</w:t>
      </w:r>
      <w:r w:rsidRPr="0043425A">
        <w:rPr>
          <w:rFonts w:asciiTheme="minorHAnsi" w:eastAsia="Arial" w:hAnsiTheme="minorHAnsi" w:cstheme="minorHAnsi"/>
          <w:szCs w:val="24"/>
        </w:rPr>
        <w:t>t</w:t>
      </w:r>
      <w:r w:rsidRPr="0043425A">
        <w:rPr>
          <w:rFonts w:asciiTheme="minorHAnsi" w:eastAsia="Arial" w:hAnsiTheme="minorHAnsi" w:cstheme="minorHAnsi"/>
          <w:spacing w:val="1"/>
          <w:szCs w:val="24"/>
        </w:rPr>
        <w:t>a</w:t>
      </w:r>
      <w:r w:rsidRPr="0043425A">
        <w:rPr>
          <w:rFonts w:asciiTheme="minorHAnsi" w:eastAsia="Arial" w:hAnsiTheme="minorHAnsi" w:cstheme="minorHAnsi"/>
          <w:szCs w:val="24"/>
        </w:rPr>
        <w:t>ins</w:t>
      </w:r>
      <w:r w:rsidRPr="0043425A">
        <w:rPr>
          <w:rFonts w:asciiTheme="minorHAnsi" w:eastAsia="Arial" w:hAnsiTheme="minorHAnsi" w:cstheme="minorHAnsi"/>
          <w:spacing w:val="-4"/>
          <w:szCs w:val="24"/>
        </w:rPr>
        <w:t xml:space="preserve"> </w:t>
      </w:r>
      <w:proofErr w:type="gramStart"/>
      <w:r w:rsidRPr="0043425A">
        <w:rPr>
          <w:rFonts w:asciiTheme="minorHAnsi" w:eastAsia="Arial" w:hAnsiTheme="minorHAnsi" w:cstheme="minorHAnsi"/>
          <w:spacing w:val="2"/>
          <w:szCs w:val="24"/>
        </w:rPr>
        <w:t>a number of</w:t>
      </w:r>
      <w:proofErr w:type="gramEnd"/>
      <w:r w:rsidRPr="0043425A">
        <w:rPr>
          <w:rFonts w:asciiTheme="minorHAnsi" w:eastAsia="Arial" w:hAnsiTheme="minorHAnsi" w:cstheme="minorHAnsi"/>
          <w:spacing w:val="2"/>
          <w:szCs w:val="24"/>
        </w:rPr>
        <w:t xml:space="preserve"> </w:t>
      </w:r>
      <w:r w:rsidRPr="0043425A">
        <w:rPr>
          <w:rFonts w:asciiTheme="minorHAnsi" w:eastAsia="Arial" w:hAnsiTheme="minorHAnsi" w:cstheme="minorHAnsi"/>
          <w:spacing w:val="1"/>
          <w:szCs w:val="24"/>
        </w:rPr>
        <w:t>B</w:t>
      </w:r>
      <w:r w:rsidRPr="0043425A">
        <w:rPr>
          <w:rFonts w:asciiTheme="minorHAnsi" w:eastAsia="Arial" w:hAnsiTheme="minorHAnsi" w:cstheme="minorHAnsi"/>
          <w:szCs w:val="24"/>
        </w:rPr>
        <w:t>PA</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1"/>
          <w:szCs w:val="24"/>
        </w:rPr>
        <w:t>l</w:t>
      </w:r>
      <w:r w:rsidRPr="0043425A">
        <w:rPr>
          <w:rFonts w:asciiTheme="minorHAnsi" w:eastAsia="Arial" w:hAnsiTheme="minorHAnsi" w:cstheme="minorHAnsi"/>
          <w:szCs w:val="24"/>
        </w:rPr>
        <w:t>istings, including:</w:t>
      </w:r>
    </w:p>
    <w:p w14:paraId="162C7A19" w14:textId="77777777" w:rsidR="005F2DE6" w:rsidRPr="0043425A" w:rsidRDefault="005F2DE6" w:rsidP="005F2DE6">
      <w:pPr>
        <w:spacing w:after="0"/>
        <w:ind w:left="460" w:right="-20"/>
        <w:rPr>
          <w:rFonts w:asciiTheme="minorHAnsi" w:eastAsia="Arial" w:hAnsiTheme="minorHAnsi" w:cstheme="minorHAnsi"/>
          <w:szCs w:val="24"/>
        </w:rPr>
      </w:pPr>
      <w:r w:rsidRPr="0043425A">
        <w:rPr>
          <w:rFonts w:asciiTheme="minorHAnsi" w:eastAsia="Arial" w:hAnsiTheme="minorHAnsi" w:cstheme="minorHAnsi"/>
          <w:spacing w:val="1"/>
          <w:szCs w:val="24"/>
        </w:rPr>
        <w:t>1</w:t>
      </w:r>
      <w:r w:rsidRPr="0043425A">
        <w:rPr>
          <w:rFonts w:asciiTheme="minorHAnsi" w:eastAsia="Arial" w:hAnsiTheme="minorHAnsi" w:cstheme="minorHAnsi"/>
          <w:szCs w:val="24"/>
        </w:rPr>
        <w:t xml:space="preserve">.  NIH -Wide BPA list </w:t>
      </w:r>
      <w:r w:rsidRPr="0043425A">
        <w:rPr>
          <w:rFonts w:asciiTheme="minorHAnsi" w:eastAsia="Arial" w:hAnsiTheme="minorHAnsi" w:cstheme="minorHAnsi"/>
          <w:spacing w:val="2"/>
          <w:szCs w:val="24"/>
        </w:rPr>
        <w:t>(</w:t>
      </w:r>
      <w:r w:rsidRPr="0043425A">
        <w:rPr>
          <w:rFonts w:asciiTheme="minorHAnsi" w:eastAsia="Arial" w:hAnsiTheme="minorHAnsi" w:cstheme="minorHAnsi"/>
          <w:spacing w:val="1"/>
          <w:szCs w:val="24"/>
        </w:rPr>
        <w:t>a</w:t>
      </w:r>
      <w:r w:rsidRPr="0043425A">
        <w:rPr>
          <w:rFonts w:asciiTheme="minorHAnsi" w:eastAsia="Arial" w:hAnsiTheme="minorHAnsi" w:cstheme="minorHAnsi"/>
          <w:szCs w:val="24"/>
        </w:rPr>
        <w:t>l</w:t>
      </w:r>
      <w:r w:rsidRPr="0043425A">
        <w:rPr>
          <w:rFonts w:asciiTheme="minorHAnsi" w:eastAsia="Arial" w:hAnsiTheme="minorHAnsi" w:cstheme="minorHAnsi"/>
          <w:spacing w:val="-2"/>
          <w:szCs w:val="24"/>
        </w:rPr>
        <w:t>p</w:t>
      </w:r>
      <w:r w:rsidRPr="0043425A">
        <w:rPr>
          <w:rFonts w:asciiTheme="minorHAnsi" w:eastAsia="Arial" w:hAnsiTheme="minorHAnsi" w:cstheme="minorHAnsi"/>
          <w:spacing w:val="-1"/>
          <w:szCs w:val="24"/>
        </w:rPr>
        <w:t>h</w:t>
      </w:r>
      <w:r w:rsidRPr="0043425A">
        <w:rPr>
          <w:rFonts w:asciiTheme="minorHAnsi" w:eastAsia="Arial" w:hAnsiTheme="minorHAnsi" w:cstheme="minorHAnsi"/>
          <w:spacing w:val="1"/>
          <w:szCs w:val="24"/>
        </w:rPr>
        <w:t>abe</w:t>
      </w:r>
      <w:r w:rsidRPr="0043425A">
        <w:rPr>
          <w:rFonts w:asciiTheme="minorHAnsi" w:eastAsia="Arial" w:hAnsiTheme="minorHAnsi" w:cstheme="minorHAnsi"/>
          <w:szCs w:val="24"/>
        </w:rPr>
        <w:t>ti</w:t>
      </w:r>
      <w:r w:rsidRPr="0043425A">
        <w:rPr>
          <w:rFonts w:asciiTheme="minorHAnsi" w:eastAsia="Arial" w:hAnsiTheme="minorHAnsi" w:cstheme="minorHAnsi"/>
          <w:spacing w:val="-2"/>
          <w:szCs w:val="24"/>
        </w:rPr>
        <w:t>c</w:t>
      </w:r>
      <w:r w:rsidRPr="0043425A">
        <w:rPr>
          <w:rFonts w:asciiTheme="minorHAnsi" w:eastAsia="Arial" w:hAnsiTheme="minorHAnsi" w:cstheme="minorHAnsi"/>
          <w:spacing w:val="1"/>
          <w:szCs w:val="24"/>
        </w:rPr>
        <w:t>a</w:t>
      </w:r>
      <w:r w:rsidRPr="0043425A">
        <w:rPr>
          <w:rFonts w:asciiTheme="minorHAnsi" w:eastAsia="Arial" w:hAnsiTheme="minorHAnsi" w:cstheme="minorHAnsi"/>
          <w:szCs w:val="24"/>
        </w:rPr>
        <w:t>l l</w:t>
      </w:r>
      <w:r w:rsidRPr="0043425A">
        <w:rPr>
          <w:rFonts w:asciiTheme="minorHAnsi" w:eastAsia="Arial" w:hAnsiTheme="minorHAnsi" w:cstheme="minorHAnsi"/>
          <w:spacing w:val="-1"/>
          <w:szCs w:val="24"/>
        </w:rPr>
        <w:t>i</w:t>
      </w:r>
      <w:r w:rsidRPr="0043425A">
        <w:rPr>
          <w:rFonts w:asciiTheme="minorHAnsi" w:eastAsia="Arial" w:hAnsiTheme="minorHAnsi" w:cstheme="minorHAnsi"/>
          <w:szCs w:val="24"/>
        </w:rPr>
        <w:t>st</w:t>
      </w:r>
      <w:r w:rsidRPr="0043425A">
        <w:rPr>
          <w:rFonts w:asciiTheme="minorHAnsi" w:eastAsia="Arial" w:hAnsiTheme="minorHAnsi" w:cstheme="minorHAnsi"/>
          <w:spacing w:val="-2"/>
          <w:szCs w:val="24"/>
        </w:rPr>
        <w:t xml:space="preserve"> by v</w:t>
      </w:r>
      <w:r w:rsidRPr="0043425A">
        <w:rPr>
          <w:rFonts w:asciiTheme="minorHAnsi" w:eastAsia="Arial" w:hAnsiTheme="minorHAnsi" w:cstheme="minorHAnsi"/>
          <w:spacing w:val="1"/>
          <w:szCs w:val="24"/>
        </w:rPr>
        <w:t>en</w:t>
      </w:r>
      <w:r w:rsidRPr="0043425A">
        <w:rPr>
          <w:rFonts w:asciiTheme="minorHAnsi" w:eastAsia="Arial" w:hAnsiTheme="minorHAnsi" w:cstheme="minorHAnsi"/>
          <w:spacing w:val="-1"/>
          <w:szCs w:val="24"/>
        </w:rPr>
        <w:t>d</w:t>
      </w:r>
      <w:r w:rsidRPr="0043425A">
        <w:rPr>
          <w:rFonts w:asciiTheme="minorHAnsi" w:eastAsia="Arial" w:hAnsiTheme="minorHAnsi" w:cstheme="minorHAnsi"/>
          <w:spacing w:val="1"/>
          <w:szCs w:val="24"/>
        </w:rPr>
        <w:t>o</w:t>
      </w:r>
      <w:r w:rsidRPr="0043425A">
        <w:rPr>
          <w:rFonts w:asciiTheme="minorHAnsi" w:eastAsia="Arial" w:hAnsiTheme="minorHAnsi" w:cstheme="minorHAnsi"/>
          <w:szCs w:val="24"/>
        </w:rPr>
        <w:t>r name);</w:t>
      </w:r>
      <w:r w:rsidRPr="0043425A">
        <w:rPr>
          <w:rFonts w:asciiTheme="minorHAnsi" w:eastAsia="Arial" w:hAnsiTheme="minorHAnsi" w:cstheme="minorHAnsi"/>
          <w:spacing w:val="1"/>
          <w:szCs w:val="24"/>
        </w:rPr>
        <w:t xml:space="preserve"> </w:t>
      </w:r>
    </w:p>
    <w:p w14:paraId="4354C72E" w14:textId="77777777" w:rsidR="005F2DE6" w:rsidRPr="0043425A" w:rsidRDefault="005F2DE6" w:rsidP="005F2DE6">
      <w:pPr>
        <w:spacing w:after="0"/>
        <w:ind w:left="460" w:right="-20"/>
        <w:rPr>
          <w:rFonts w:asciiTheme="minorHAnsi" w:eastAsia="Arial" w:hAnsiTheme="minorHAnsi" w:cstheme="minorHAnsi"/>
          <w:spacing w:val="1"/>
          <w:szCs w:val="24"/>
        </w:rPr>
      </w:pPr>
      <w:r w:rsidRPr="0043425A">
        <w:rPr>
          <w:rFonts w:asciiTheme="minorHAnsi" w:eastAsia="Arial" w:hAnsiTheme="minorHAnsi" w:cstheme="minorHAnsi"/>
          <w:spacing w:val="1"/>
          <w:szCs w:val="24"/>
        </w:rPr>
        <w:t>2.  NIH -Wide BPA List sorted by commodity;</w:t>
      </w:r>
    </w:p>
    <w:p w14:paraId="266A0F19" w14:textId="77777777" w:rsidR="005F2DE6" w:rsidRPr="0043425A" w:rsidRDefault="005F2DE6" w:rsidP="005F2DE6">
      <w:pPr>
        <w:spacing w:after="0"/>
        <w:ind w:left="460" w:right="-20"/>
        <w:rPr>
          <w:rFonts w:asciiTheme="minorHAnsi" w:eastAsia="Arial" w:hAnsiTheme="minorHAnsi" w:cstheme="minorHAnsi"/>
          <w:spacing w:val="1"/>
          <w:szCs w:val="24"/>
        </w:rPr>
      </w:pPr>
      <w:r w:rsidRPr="0043425A">
        <w:rPr>
          <w:rFonts w:asciiTheme="minorHAnsi" w:eastAsia="Arial" w:hAnsiTheme="minorHAnsi" w:cstheme="minorHAnsi"/>
          <w:spacing w:val="1"/>
          <w:szCs w:val="24"/>
        </w:rPr>
        <w:t>3.  Open Market BPA Holders; and</w:t>
      </w:r>
    </w:p>
    <w:p w14:paraId="4DD1EE53" w14:textId="77777777" w:rsidR="005F2DE6" w:rsidRPr="0043425A" w:rsidRDefault="005F2DE6" w:rsidP="005F2DE6">
      <w:pPr>
        <w:spacing w:after="0" w:line="240" w:lineRule="auto"/>
        <w:ind w:left="460" w:right="-20"/>
        <w:rPr>
          <w:rFonts w:asciiTheme="minorHAnsi" w:eastAsia="Arial" w:hAnsiTheme="minorHAnsi" w:cstheme="minorHAnsi"/>
          <w:spacing w:val="1"/>
          <w:szCs w:val="24"/>
        </w:rPr>
      </w:pPr>
      <w:r w:rsidRPr="0043425A">
        <w:rPr>
          <w:rFonts w:asciiTheme="minorHAnsi" w:eastAsia="Arial" w:hAnsiTheme="minorHAnsi" w:cstheme="minorHAnsi"/>
          <w:spacing w:val="1"/>
          <w:szCs w:val="24"/>
        </w:rPr>
        <w:t>4.  GSA Federal Supply Schedule BPA Holders.</w:t>
      </w:r>
    </w:p>
    <w:p w14:paraId="09B0C17E" w14:textId="77777777" w:rsidR="005F2DE6" w:rsidRPr="0043425A" w:rsidRDefault="005F2DE6" w:rsidP="005F2DE6">
      <w:pPr>
        <w:spacing w:after="0" w:line="240" w:lineRule="auto"/>
        <w:ind w:left="461" w:right="-14"/>
        <w:rPr>
          <w:rFonts w:asciiTheme="minorHAnsi" w:eastAsia="Arial" w:hAnsiTheme="minorHAnsi" w:cstheme="minorHAnsi"/>
          <w:spacing w:val="1"/>
          <w:szCs w:val="24"/>
        </w:rPr>
      </w:pPr>
      <w:r w:rsidRPr="0043425A">
        <w:rPr>
          <w:rFonts w:asciiTheme="minorHAnsi" w:eastAsia="Arial" w:hAnsiTheme="minorHAnsi" w:cstheme="minorHAnsi"/>
          <w:spacing w:val="1"/>
          <w:szCs w:val="24"/>
        </w:rPr>
        <w:t xml:space="preserve"> </w:t>
      </w:r>
    </w:p>
    <w:p w14:paraId="5CFBC25B" w14:textId="77777777" w:rsidR="005F2DE6" w:rsidRPr="001F49D0" w:rsidRDefault="005F2DE6" w:rsidP="001F49D0">
      <w:pPr>
        <w:spacing w:after="0" w:line="240" w:lineRule="auto"/>
        <w:ind w:right="-14"/>
        <w:rPr>
          <w:rFonts w:asciiTheme="minorHAnsi" w:eastAsia="Arial" w:hAnsiTheme="minorHAnsi" w:cstheme="minorHAnsi"/>
          <w:spacing w:val="-1"/>
          <w:szCs w:val="24"/>
        </w:rPr>
      </w:pPr>
      <w:r w:rsidRPr="0043425A">
        <w:rPr>
          <w:rFonts w:asciiTheme="minorHAnsi" w:eastAsia="Arial" w:hAnsiTheme="minorHAnsi" w:cstheme="minorHAnsi"/>
          <w:szCs w:val="24"/>
        </w:rPr>
        <w:t>If</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2"/>
          <w:szCs w:val="24"/>
        </w:rPr>
        <w:t>y</w:t>
      </w:r>
      <w:r w:rsidRPr="0043425A">
        <w:rPr>
          <w:rFonts w:asciiTheme="minorHAnsi" w:eastAsia="Arial" w:hAnsiTheme="minorHAnsi" w:cstheme="minorHAnsi"/>
          <w:spacing w:val="1"/>
          <w:szCs w:val="24"/>
        </w:rPr>
        <w:t>o</w:t>
      </w:r>
      <w:r w:rsidRPr="0043425A">
        <w:rPr>
          <w:rFonts w:asciiTheme="minorHAnsi" w:eastAsia="Arial" w:hAnsiTheme="minorHAnsi" w:cstheme="minorHAnsi"/>
          <w:szCs w:val="24"/>
        </w:rPr>
        <w:t>u</w:t>
      </w:r>
      <w:r w:rsidRPr="0043425A">
        <w:rPr>
          <w:rFonts w:asciiTheme="minorHAnsi" w:eastAsia="Arial" w:hAnsiTheme="minorHAnsi" w:cstheme="minorHAnsi"/>
          <w:spacing w:val="1"/>
          <w:szCs w:val="24"/>
        </w:rPr>
        <w:t xml:space="preserve"> ha</w:t>
      </w:r>
      <w:r w:rsidRPr="0043425A">
        <w:rPr>
          <w:rFonts w:asciiTheme="minorHAnsi" w:eastAsia="Arial" w:hAnsiTheme="minorHAnsi" w:cstheme="minorHAnsi"/>
          <w:spacing w:val="-2"/>
          <w:szCs w:val="24"/>
        </w:rPr>
        <w:t>v</w:t>
      </w:r>
      <w:r w:rsidRPr="0043425A">
        <w:rPr>
          <w:rFonts w:asciiTheme="minorHAnsi" w:eastAsia="Arial" w:hAnsiTheme="minorHAnsi" w:cstheme="minorHAnsi"/>
          <w:szCs w:val="24"/>
        </w:rPr>
        <w:t>e</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1"/>
          <w:szCs w:val="24"/>
        </w:rPr>
        <w:t>a</w:t>
      </w:r>
      <w:r w:rsidRPr="0043425A">
        <w:rPr>
          <w:rFonts w:asciiTheme="minorHAnsi" w:eastAsia="Arial" w:hAnsiTheme="minorHAnsi" w:cstheme="minorHAnsi"/>
          <w:spacing w:val="1"/>
          <w:szCs w:val="24"/>
        </w:rPr>
        <w:t>n</w:t>
      </w:r>
      <w:r w:rsidRPr="0043425A">
        <w:rPr>
          <w:rFonts w:asciiTheme="minorHAnsi" w:eastAsia="Arial" w:hAnsiTheme="minorHAnsi" w:cstheme="minorHAnsi"/>
          <w:szCs w:val="24"/>
        </w:rPr>
        <w:t>y</w:t>
      </w:r>
      <w:r w:rsidRPr="0043425A">
        <w:rPr>
          <w:rFonts w:asciiTheme="minorHAnsi" w:eastAsia="Arial" w:hAnsiTheme="minorHAnsi" w:cstheme="minorHAnsi"/>
          <w:spacing w:val="-2"/>
          <w:szCs w:val="24"/>
        </w:rPr>
        <w:t xml:space="preserve"> </w:t>
      </w:r>
      <w:r w:rsidRPr="0043425A">
        <w:rPr>
          <w:rFonts w:asciiTheme="minorHAnsi" w:eastAsia="Arial" w:hAnsiTheme="minorHAnsi" w:cstheme="minorHAnsi"/>
          <w:spacing w:val="-1"/>
          <w:szCs w:val="24"/>
        </w:rPr>
        <w:t>q</w:t>
      </w:r>
      <w:r w:rsidRPr="0043425A">
        <w:rPr>
          <w:rFonts w:asciiTheme="minorHAnsi" w:eastAsia="Arial" w:hAnsiTheme="minorHAnsi" w:cstheme="minorHAnsi"/>
          <w:spacing w:val="1"/>
          <w:szCs w:val="24"/>
        </w:rPr>
        <w:t>ue</w:t>
      </w:r>
      <w:r w:rsidRPr="0043425A">
        <w:rPr>
          <w:rFonts w:asciiTheme="minorHAnsi" w:eastAsia="Arial" w:hAnsiTheme="minorHAnsi" w:cstheme="minorHAnsi"/>
          <w:szCs w:val="24"/>
        </w:rPr>
        <w:t>sti</w:t>
      </w:r>
      <w:r w:rsidRPr="0043425A">
        <w:rPr>
          <w:rFonts w:asciiTheme="minorHAnsi" w:eastAsia="Arial" w:hAnsiTheme="minorHAnsi" w:cstheme="minorHAnsi"/>
          <w:spacing w:val="1"/>
          <w:szCs w:val="24"/>
        </w:rPr>
        <w:t>on</w:t>
      </w:r>
      <w:r w:rsidRPr="0043425A">
        <w:rPr>
          <w:rFonts w:asciiTheme="minorHAnsi" w:eastAsia="Arial" w:hAnsiTheme="minorHAnsi" w:cstheme="minorHAnsi"/>
          <w:szCs w:val="24"/>
        </w:rPr>
        <w:t xml:space="preserve">s </w:t>
      </w:r>
      <w:r w:rsidRPr="0043425A">
        <w:rPr>
          <w:rFonts w:asciiTheme="minorHAnsi" w:eastAsia="Arial" w:hAnsiTheme="minorHAnsi" w:cstheme="minorHAnsi"/>
          <w:spacing w:val="1"/>
          <w:szCs w:val="24"/>
        </w:rPr>
        <w:t>o</w:t>
      </w:r>
      <w:r w:rsidRPr="0043425A">
        <w:rPr>
          <w:rFonts w:asciiTheme="minorHAnsi" w:eastAsia="Arial" w:hAnsiTheme="minorHAnsi" w:cstheme="minorHAnsi"/>
          <w:szCs w:val="24"/>
        </w:rPr>
        <w:t>r</w:t>
      </w:r>
      <w:r w:rsidRPr="0043425A">
        <w:rPr>
          <w:rFonts w:asciiTheme="minorHAnsi" w:eastAsia="Arial" w:hAnsiTheme="minorHAnsi" w:cstheme="minorHAnsi"/>
          <w:spacing w:val="-3"/>
          <w:szCs w:val="24"/>
        </w:rPr>
        <w:t xml:space="preserve"> </w:t>
      </w:r>
      <w:r w:rsidRPr="0043425A">
        <w:rPr>
          <w:rFonts w:asciiTheme="minorHAnsi" w:eastAsia="Arial" w:hAnsiTheme="minorHAnsi" w:cstheme="minorHAnsi"/>
          <w:spacing w:val="1"/>
          <w:szCs w:val="24"/>
        </w:rPr>
        <w:t>ne</w:t>
      </w:r>
      <w:r w:rsidRPr="0043425A">
        <w:rPr>
          <w:rFonts w:asciiTheme="minorHAnsi" w:eastAsia="Arial" w:hAnsiTheme="minorHAnsi" w:cstheme="minorHAnsi"/>
          <w:spacing w:val="-1"/>
          <w:szCs w:val="24"/>
        </w:rPr>
        <w:t>e</w:t>
      </w:r>
      <w:r w:rsidRPr="0043425A">
        <w:rPr>
          <w:rFonts w:asciiTheme="minorHAnsi" w:eastAsia="Arial" w:hAnsiTheme="minorHAnsi" w:cstheme="minorHAnsi"/>
          <w:szCs w:val="24"/>
        </w:rPr>
        <w:t>d</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zCs w:val="24"/>
        </w:rPr>
        <w:t>f</w:t>
      </w:r>
      <w:r w:rsidRPr="0043425A">
        <w:rPr>
          <w:rFonts w:asciiTheme="minorHAnsi" w:eastAsia="Arial" w:hAnsiTheme="minorHAnsi" w:cstheme="minorHAnsi"/>
          <w:spacing w:val="1"/>
          <w:szCs w:val="24"/>
        </w:rPr>
        <w:t>u</w:t>
      </w:r>
      <w:r w:rsidRPr="0043425A">
        <w:rPr>
          <w:rFonts w:asciiTheme="minorHAnsi" w:eastAsia="Arial" w:hAnsiTheme="minorHAnsi" w:cstheme="minorHAnsi"/>
          <w:szCs w:val="24"/>
        </w:rPr>
        <w:t>rth</w:t>
      </w:r>
      <w:r w:rsidRPr="0043425A">
        <w:rPr>
          <w:rFonts w:asciiTheme="minorHAnsi" w:eastAsia="Arial" w:hAnsiTheme="minorHAnsi" w:cstheme="minorHAnsi"/>
          <w:spacing w:val="1"/>
          <w:szCs w:val="24"/>
        </w:rPr>
        <w:t>e</w:t>
      </w:r>
      <w:r w:rsidRPr="0043425A">
        <w:rPr>
          <w:rFonts w:asciiTheme="minorHAnsi" w:eastAsia="Arial" w:hAnsiTheme="minorHAnsi" w:cstheme="minorHAnsi"/>
          <w:szCs w:val="24"/>
        </w:rPr>
        <w:t>r c</w:t>
      </w:r>
      <w:r w:rsidRPr="0043425A">
        <w:rPr>
          <w:rFonts w:asciiTheme="minorHAnsi" w:eastAsia="Arial" w:hAnsiTheme="minorHAnsi" w:cstheme="minorHAnsi"/>
          <w:spacing w:val="-1"/>
          <w:szCs w:val="24"/>
        </w:rPr>
        <w:t>la</w:t>
      </w:r>
      <w:r w:rsidRPr="0043425A">
        <w:rPr>
          <w:rFonts w:asciiTheme="minorHAnsi" w:eastAsia="Arial" w:hAnsiTheme="minorHAnsi" w:cstheme="minorHAnsi"/>
          <w:szCs w:val="24"/>
        </w:rPr>
        <w:t>r</w:t>
      </w:r>
      <w:r w:rsidRPr="0043425A">
        <w:rPr>
          <w:rFonts w:asciiTheme="minorHAnsi" w:eastAsia="Arial" w:hAnsiTheme="minorHAnsi" w:cstheme="minorHAnsi"/>
          <w:spacing w:val="-1"/>
          <w:szCs w:val="24"/>
        </w:rPr>
        <w:t>i</w:t>
      </w:r>
      <w:r w:rsidRPr="0043425A">
        <w:rPr>
          <w:rFonts w:asciiTheme="minorHAnsi" w:eastAsia="Arial" w:hAnsiTheme="minorHAnsi" w:cstheme="minorHAnsi"/>
          <w:spacing w:val="3"/>
          <w:szCs w:val="24"/>
        </w:rPr>
        <w:t>f</w:t>
      </w:r>
      <w:r w:rsidRPr="0043425A">
        <w:rPr>
          <w:rFonts w:asciiTheme="minorHAnsi" w:eastAsia="Arial" w:hAnsiTheme="minorHAnsi" w:cstheme="minorHAnsi"/>
          <w:szCs w:val="24"/>
        </w:rPr>
        <w:t>ica</w:t>
      </w:r>
      <w:r w:rsidRPr="0043425A">
        <w:rPr>
          <w:rFonts w:asciiTheme="minorHAnsi" w:eastAsia="Arial" w:hAnsiTheme="minorHAnsi" w:cstheme="minorHAnsi"/>
          <w:spacing w:val="1"/>
          <w:szCs w:val="24"/>
        </w:rPr>
        <w:t>t</w:t>
      </w:r>
      <w:r w:rsidRPr="0043425A">
        <w:rPr>
          <w:rFonts w:asciiTheme="minorHAnsi" w:eastAsia="Arial" w:hAnsiTheme="minorHAnsi" w:cstheme="minorHAnsi"/>
          <w:szCs w:val="24"/>
        </w:rPr>
        <w:t>i</w:t>
      </w:r>
      <w:r w:rsidRPr="0043425A">
        <w:rPr>
          <w:rFonts w:asciiTheme="minorHAnsi" w:eastAsia="Arial" w:hAnsiTheme="minorHAnsi" w:cstheme="minorHAnsi"/>
          <w:spacing w:val="-2"/>
          <w:szCs w:val="24"/>
        </w:rPr>
        <w:t>o</w:t>
      </w:r>
      <w:r w:rsidRPr="0043425A">
        <w:rPr>
          <w:rFonts w:asciiTheme="minorHAnsi" w:eastAsia="Arial" w:hAnsiTheme="minorHAnsi" w:cstheme="minorHAnsi"/>
          <w:spacing w:val="1"/>
          <w:szCs w:val="24"/>
        </w:rPr>
        <w:t>n</w:t>
      </w:r>
      <w:r w:rsidRPr="0043425A">
        <w:rPr>
          <w:rFonts w:asciiTheme="minorHAnsi" w:eastAsia="Arial" w:hAnsiTheme="minorHAnsi" w:cstheme="minorHAnsi"/>
          <w:szCs w:val="24"/>
        </w:rPr>
        <w:t>,</w:t>
      </w:r>
      <w:r w:rsidRPr="0043425A">
        <w:rPr>
          <w:rFonts w:asciiTheme="minorHAnsi" w:eastAsia="Arial" w:hAnsiTheme="minorHAnsi" w:cstheme="minorHAnsi"/>
          <w:spacing w:val="1"/>
          <w:szCs w:val="24"/>
        </w:rPr>
        <w:t xml:space="preserve"> p</w:t>
      </w:r>
      <w:r w:rsidRPr="0043425A">
        <w:rPr>
          <w:rFonts w:asciiTheme="minorHAnsi" w:eastAsia="Arial" w:hAnsiTheme="minorHAnsi" w:cstheme="minorHAnsi"/>
          <w:spacing w:val="-3"/>
          <w:szCs w:val="24"/>
        </w:rPr>
        <w:t>l</w:t>
      </w:r>
      <w:r w:rsidRPr="0043425A">
        <w:rPr>
          <w:rFonts w:asciiTheme="minorHAnsi" w:eastAsia="Arial" w:hAnsiTheme="minorHAnsi" w:cstheme="minorHAnsi"/>
          <w:spacing w:val="1"/>
          <w:szCs w:val="24"/>
        </w:rPr>
        <w:t>ea</w:t>
      </w:r>
      <w:r w:rsidRPr="0043425A">
        <w:rPr>
          <w:rFonts w:asciiTheme="minorHAnsi" w:eastAsia="Arial" w:hAnsiTheme="minorHAnsi" w:cstheme="minorHAnsi"/>
          <w:szCs w:val="24"/>
        </w:rPr>
        <w:t>se</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zCs w:val="24"/>
        </w:rPr>
        <w:t>c</w:t>
      </w:r>
      <w:r w:rsidRPr="0043425A">
        <w:rPr>
          <w:rFonts w:asciiTheme="minorHAnsi" w:eastAsia="Arial" w:hAnsiTheme="minorHAnsi" w:cstheme="minorHAnsi"/>
          <w:spacing w:val="1"/>
          <w:szCs w:val="24"/>
        </w:rPr>
        <w:t>o</w:t>
      </w:r>
      <w:r w:rsidRPr="0043425A">
        <w:rPr>
          <w:rFonts w:asciiTheme="minorHAnsi" w:eastAsia="Arial" w:hAnsiTheme="minorHAnsi" w:cstheme="minorHAnsi"/>
          <w:spacing w:val="-1"/>
          <w:szCs w:val="24"/>
        </w:rPr>
        <w:t>n</w:t>
      </w:r>
      <w:r w:rsidRPr="0043425A">
        <w:rPr>
          <w:rFonts w:asciiTheme="minorHAnsi" w:eastAsia="Arial" w:hAnsiTheme="minorHAnsi" w:cstheme="minorHAnsi"/>
          <w:szCs w:val="24"/>
        </w:rPr>
        <w:t>t</w:t>
      </w:r>
      <w:r w:rsidRPr="0043425A">
        <w:rPr>
          <w:rFonts w:asciiTheme="minorHAnsi" w:eastAsia="Arial" w:hAnsiTheme="minorHAnsi" w:cstheme="minorHAnsi"/>
          <w:spacing w:val="-1"/>
          <w:szCs w:val="24"/>
        </w:rPr>
        <w:t>a</w:t>
      </w:r>
      <w:r w:rsidRPr="0043425A">
        <w:rPr>
          <w:rFonts w:asciiTheme="minorHAnsi" w:eastAsia="Arial" w:hAnsiTheme="minorHAnsi" w:cstheme="minorHAnsi"/>
          <w:szCs w:val="24"/>
        </w:rPr>
        <w:t>ct</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zCs w:val="24"/>
        </w:rPr>
        <w:t>t</w:t>
      </w:r>
      <w:r w:rsidRPr="0043425A">
        <w:rPr>
          <w:rFonts w:asciiTheme="minorHAnsi" w:eastAsia="Arial" w:hAnsiTheme="minorHAnsi" w:cstheme="minorHAnsi"/>
          <w:spacing w:val="1"/>
          <w:szCs w:val="24"/>
        </w:rPr>
        <w:t>h</w:t>
      </w:r>
      <w:r w:rsidRPr="0043425A">
        <w:rPr>
          <w:rFonts w:asciiTheme="minorHAnsi" w:eastAsia="Arial" w:hAnsiTheme="minorHAnsi" w:cstheme="minorHAnsi"/>
          <w:szCs w:val="24"/>
        </w:rPr>
        <w:t>e</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1"/>
          <w:szCs w:val="24"/>
        </w:rPr>
        <w:t>B</w:t>
      </w:r>
      <w:r w:rsidRPr="0043425A">
        <w:rPr>
          <w:rFonts w:asciiTheme="minorHAnsi" w:eastAsia="Arial" w:hAnsiTheme="minorHAnsi" w:cstheme="minorHAnsi"/>
          <w:spacing w:val="-2"/>
          <w:szCs w:val="24"/>
        </w:rPr>
        <w:t>P</w:t>
      </w:r>
      <w:r w:rsidRPr="0043425A">
        <w:rPr>
          <w:rFonts w:asciiTheme="minorHAnsi" w:eastAsia="Arial" w:hAnsiTheme="minorHAnsi" w:cstheme="minorHAnsi"/>
          <w:szCs w:val="24"/>
        </w:rPr>
        <w:t xml:space="preserve">A </w:t>
      </w:r>
      <w:r w:rsidRPr="0043425A">
        <w:rPr>
          <w:rFonts w:asciiTheme="minorHAnsi" w:eastAsia="Arial" w:hAnsiTheme="minorHAnsi" w:cstheme="minorHAnsi"/>
          <w:spacing w:val="1"/>
          <w:szCs w:val="24"/>
        </w:rPr>
        <w:t>he</w:t>
      </w:r>
      <w:r w:rsidRPr="0043425A">
        <w:rPr>
          <w:rFonts w:asciiTheme="minorHAnsi" w:eastAsia="Arial" w:hAnsiTheme="minorHAnsi" w:cstheme="minorHAnsi"/>
          <w:spacing w:val="-3"/>
          <w:szCs w:val="24"/>
        </w:rPr>
        <w:t>l</w:t>
      </w:r>
      <w:r w:rsidRPr="0043425A">
        <w:rPr>
          <w:rFonts w:asciiTheme="minorHAnsi" w:eastAsia="Arial" w:hAnsiTheme="minorHAnsi" w:cstheme="minorHAnsi"/>
          <w:spacing w:val="1"/>
          <w:szCs w:val="24"/>
        </w:rPr>
        <w:t>p</w:t>
      </w:r>
      <w:r w:rsidRPr="0043425A">
        <w:rPr>
          <w:rFonts w:asciiTheme="minorHAnsi" w:eastAsia="Arial" w:hAnsiTheme="minorHAnsi" w:cstheme="minorHAnsi"/>
          <w:szCs w:val="24"/>
        </w:rPr>
        <w:t>l</w:t>
      </w:r>
      <w:r w:rsidRPr="0043425A">
        <w:rPr>
          <w:rFonts w:asciiTheme="minorHAnsi" w:eastAsia="Arial" w:hAnsiTheme="minorHAnsi" w:cstheme="minorHAnsi"/>
          <w:spacing w:val="-1"/>
          <w:szCs w:val="24"/>
        </w:rPr>
        <w:t>i</w:t>
      </w:r>
      <w:r w:rsidRPr="0043425A">
        <w:rPr>
          <w:rFonts w:asciiTheme="minorHAnsi" w:eastAsia="Arial" w:hAnsiTheme="minorHAnsi" w:cstheme="minorHAnsi"/>
          <w:spacing w:val="1"/>
          <w:szCs w:val="24"/>
        </w:rPr>
        <w:t>n</w:t>
      </w:r>
      <w:r w:rsidRPr="0043425A">
        <w:rPr>
          <w:rFonts w:asciiTheme="minorHAnsi" w:eastAsia="Arial" w:hAnsiTheme="minorHAnsi" w:cstheme="minorHAnsi"/>
          <w:szCs w:val="24"/>
        </w:rPr>
        <w:t>e</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1"/>
          <w:szCs w:val="24"/>
        </w:rPr>
        <w:t>a</w:t>
      </w:r>
      <w:r w:rsidRPr="0043425A">
        <w:rPr>
          <w:rFonts w:asciiTheme="minorHAnsi" w:eastAsia="Arial" w:hAnsiTheme="minorHAnsi" w:cstheme="minorHAnsi"/>
          <w:szCs w:val="24"/>
        </w:rPr>
        <w:t>t</w:t>
      </w:r>
      <w:r w:rsidRPr="0043425A">
        <w:rPr>
          <w:rFonts w:asciiTheme="minorHAnsi" w:eastAsia="Arial" w:hAnsiTheme="minorHAnsi" w:cstheme="minorHAnsi"/>
          <w:spacing w:val="-1"/>
          <w:szCs w:val="24"/>
        </w:rPr>
        <w:t xml:space="preserve"> </w:t>
      </w:r>
      <w:r w:rsidRPr="0043425A">
        <w:rPr>
          <w:rFonts w:asciiTheme="minorHAnsi" w:eastAsia="Arial" w:hAnsiTheme="minorHAnsi" w:cstheme="minorHAnsi"/>
          <w:spacing w:val="1"/>
          <w:szCs w:val="24"/>
        </w:rPr>
        <w:t>30</w:t>
      </w:r>
      <w:r w:rsidRPr="0043425A">
        <w:rPr>
          <w:rFonts w:asciiTheme="minorHAnsi" w:eastAsia="Arial" w:hAnsiTheme="minorHAnsi" w:cstheme="minorHAnsi"/>
          <w:spacing w:val="12"/>
          <w:szCs w:val="24"/>
        </w:rPr>
        <w:t>1</w:t>
      </w:r>
      <w:r w:rsidRPr="0043425A">
        <w:rPr>
          <w:rFonts w:asciiTheme="minorHAnsi" w:eastAsia="Arial" w:hAnsiTheme="minorHAnsi" w:cstheme="minorHAnsi"/>
          <w:spacing w:val="-1"/>
          <w:szCs w:val="24"/>
        </w:rPr>
        <w:t>-4</w:t>
      </w:r>
      <w:r w:rsidRPr="0043425A">
        <w:rPr>
          <w:rFonts w:asciiTheme="minorHAnsi" w:eastAsia="Arial" w:hAnsiTheme="minorHAnsi" w:cstheme="minorHAnsi"/>
          <w:spacing w:val="1"/>
          <w:szCs w:val="24"/>
        </w:rPr>
        <w:t>96</w:t>
      </w:r>
      <w:r w:rsidRPr="0043425A">
        <w:rPr>
          <w:rFonts w:asciiTheme="minorHAnsi" w:eastAsia="Arial" w:hAnsiTheme="minorHAnsi" w:cstheme="minorHAnsi"/>
          <w:szCs w:val="24"/>
        </w:rPr>
        <w:t>-</w:t>
      </w:r>
      <w:r w:rsidRPr="0043425A">
        <w:rPr>
          <w:rFonts w:asciiTheme="minorHAnsi" w:eastAsia="Arial" w:hAnsiTheme="minorHAnsi" w:cstheme="minorHAnsi"/>
          <w:spacing w:val="1"/>
          <w:position w:val="-1"/>
          <w:szCs w:val="24"/>
        </w:rPr>
        <w:t>52</w:t>
      </w:r>
      <w:r w:rsidRPr="0043425A">
        <w:rPr>
          <w:rFonts w:asciiTheme="minorHAnsi" w:eastAsia="Arial" w:hAnsiTheme="minorHAnsi" w:cstheme="minorHAnsi"/>
          <w:spacing w:val="-1"/>
          <w:position w:val="-1"/>
          <w:szCs w:val="24"/>
        </w:rPr>
        <w:t>1</w:t>
      </w:r>
      <w:r w:rsidRPr="0043425A">
        <w:rPr>
          <w:rFonts w:asciiTheme="minorHAnsi" w:eastAsia="Arial" w:hAnsiTheme="minorHAnsi" w:cstheme="minorHAnsi"/>
          <w:position w:val="-1"/>
          <w:szCs w:val="24"/>
        </w:rPr>
        <w:t>2</w:t>
      </w:r>
      <w:r w:rsidRPr="0043425A">
        <w:rPr>
          <w:rFonts w:asciiTheme="minorHAnsi" w:eastAsia="Arial" w:hAnsiTheme="minorHAnsi" w:cstheme="minorHAnsi"/>
          <w:spacing w:val="1"/>
          <w:position w:val="-1"/>
          <w:szCs w:val="24"/>
        </w:rPr>
        <w:t xml:space="preserve"> o</w:t>
      </w:r>
      <w:r w:rsidRPr="0043425A">
        <w:rPr>
          <w:rFonts w:asciiTheme="minorHAnsi" w:eastAsia="Arial" w:hAnsiTheme="minorHAnsi" w:cstheme="minorHAnsi"/>
          <w:position w:val="-1"/>
          <w:szCs w:val="24"/>
        </w:rPr>
        <w:t xml:space="preserve">r </w:t>
      </w:r>
      <w:hyperlink r:id="rId70" w:tooltip="mailto:BPAProgramBranch@od.nih.gov">
        <w:r w:rsidRPr="0000261D">
          <w:rPr>
            <w:rStyle w:val="Hyperlink"/>
          </w:rPr>
          <w:t>email</w:t>
        </w:r>
      </w:hyperlink>
      <w:r w:rsidRPr="0000261D">
        <w:t>.</w:t>
      </w:r>
    </w:p>
    <w:p w14:paraId="0B6C805E" w14:textId="77777777" w:rsidR="00F0498F" w:rsidRDefault="00F0498F" w:rsidP="00CF32EE">
      <w:pPr>
        <w:pStyle w:val="Heading1"/>
        <w:jc w:val="left"/>
      </w:pPr>
    </w:p>
    <w:p w14:paraId="03127205" w14:textId="77777777" w:rsidR="00F0498F" w:rsidRDefault="00F0498F" w:rsidP="00CF32EE">
      <w:pPr>
        <w:pStyle w:val="Heading1"/>
        <w:jc w:val="left"/>
      </w:pPr>
    </w:p>
    <w:p w14:paraId="061F3BFD" w14:textId="77777777" w:rsidR="00F0498F" w:rsidRDefault="00F0498F" w:rsidP="00CF32EE">
      <w:pPr>
        <w:pStyle w:val="Heading1"/>
        <w:jc w:val="left"/>
      </w:pPr>
    </w:p>
    <w:p w14:paraId="415C171E" w14:textId="75ACED79" w:rsidR="00CF32EE" w:rsidRPr="00717AF1" w:rsidRDefault="00CF32EE" w:rsidP="00CF32EE">
      <w:pPr>
        <w:pStyle w:val="Heading1"/>
        <w:jc w:val="left"/>
      </w:pPr>
      <w:r w:rsidRPr="00717AF1">
        <w:lastRenderedPageBreak/>
        <w:t>THANKS!</w:t>
      </w:r>
    </w:p>
    <w:p w14:paraId="04EFAF9F" w14:textId="77777777" w:rsidR="00CF32EE" w:rsidRPr="00717AF1" w:rsidRDefault="00CF32EE" w:rsidP="00CF32EE">
      <w:r w:rsidRPr="00717AF1">
        <w:t>We would like to thank all those who contributed to this and future editions of the OALM Newsletter.</w:t>
      </w:r>
    </w:p>
    <w:p w14:paraId="7A311271" w14:textId="77777777" w:rsidR="00CF32EE" w:rsidRPr="00717AF1" w:rsidRDefault="00CF32EE" w:rsidP="00CF32EE">
      <w:r w:rsidRPr="00717AF1">
        <w:t xml:space="preserve">The OALM Newsletter will be published </w:t>
      </w:r>
      <w:r>
        <w:t>four</w:t>
      </w:r>
      <w:r w:rsidRPr="00717AF1">
        <w:t xml:space="preserve"> (4) times in calendar year 2019. We encourage staff to submit articles that would be of interest to our readers. We will do our best to include such articles in future editions of the OALM Newsletter.</w:t>
      </w:r>
    </w:p>
    <w:p w14:paraId="479D7548" w14:textId="77777777" w:rsidR="00CF32EE" w:rsidRPr="004D1E09" w:rsidRDefault="00CF32EE" w:rsidP="00CF32EE">
      <w:r w:rsidRPr="004D1E09">
        <w:t xml:space="preserve">Please address all correspondence to the editors: Milton Nicholas, </w:t>
      </w:r>
      <w:hyperlink r:id="rId71" w:tooltip="NicholaM@od.nih.gov" w:history="1">
        <w:r w:rsidRPr="004D1E09">
          <w:rPr>
            <w:rStyle w:val="Hyperlink"/>
          </w:rPr>
          <w:t>NicholaM@od.nih.gov</w:t>
        </w:r>
      </w:hyperlink>
      <w:r w:rsidRPr="004D1E09">
        <w:t xml:space="preserve"> Michele McDermott, </w:t>
      </w:r>
      <w:hyperlink r:id="rId72" w:tooltip="McDermottMl@od.nih.gov" w:history="1">
        <w:r w:rsidRPr="004D1E09">
          <w:rPr>
            <w:rStyle w:val="Hyperlink"/>
          </w:rPr>
          <w:t>McDermottMl@od.nih.gov</w:t>
        </w:r>
      </w:hyperlink>
      <w:r w:rsidRPr="004D1E09">
        <w:t xml:space="preserve">, Jesse Lee, </w:t>
      </w:r>
      <w:hyperlink r:id="rId73" w:history="1">
        <w:r w:rsidRPr="004D1E09">
          <w:rPr>
            <w:rStyle w:val="Hyperlink"/>
          </w:rPr>
          <w:t>Jesse.Lee2@nih.gov</w:t>
        </w:r>
      </w:hyperlink>
      <w:hyperlink r:id="rId74" w:history="1">
        <w:r w:rsidRPr="004D1E09">
          <w:rPr>
            <w:rStyle w:val="Hyperlink"/>
          </w:rPr>
          <w:t xml:space="preserve">, </w:t>
        </w:r>
      </w:hyperlink>
      <w:r w:rsidRPr="004D1E09">
        <w:t xml:space="preserve"> or Barry Solomon, </w:t>
      </w:r>
      <w:hyperlink r:id="rId75" w:tooltip="SolomonBJ@od.nih.gov" w:history="1">
        <w:r w:rsidRPr="004D1E09">
          <w:rPr>
            <w:rStyle w:val="Hyperlink"/>
          </w:rPr>
          <w:t>SolomonBJ@od.nih.gov</w:t>
        </w:r>
      </w:hyperlink>
      <w:r w:rsidRPr="004D1E09">
        <w:t>.</w:t>
      </w:r>
    </w:p>
    <w:p w14:paraId="7EA92B49" w14:textId="77777777" w:rsidR="00CF32EE" w:rsidRPr="00717AF1" w:rsidRDefault="00CF32EE" w:rsidP="00CF32EE">
      <w:r w:rsidRPr="00717AF1">
        <w:t xml:space="preserve">If </w:t>
      </w:r>
      <w:r w:rsidRPr="00717AF1">
        <w:rPr>
          <w:spacing w:val="-2"/>
        </w:rPr>
        <w:t>y</w:t>
      </w:r>
      <w:r w:rsidRPr="00717AF1">
        <w:t>ou</w:t>
      </w:r>
      <w:r w:rsidRPr="00717AF1">
        <w:rPr>
          <w:spacing w:val="2"/>
        </w:rPr>
        <w:t xml:space="preserve"> </w:t>
      </w:r>
      <w:r w:rsidRPr="00717AF1">
        <w:t>ha</w:t>
      </w:r>
      <w:r w:rsidRPr="00717AF1">
        <w:rPr>
          <w:spacing w:val="-2"/>
        </w:rPr>
        <w:t>v</w:t>
      </w:r>
      <w:r w:rsidRPr="00717AF1">
        <w:t>e</w:t>
      </w:r>
      <w:r w:rsidRPr="00717AF1">
        <w:rPr>
          <w:spacing w:val="2"/>
        </w:rPr>
        <w:t xml:space="preserve"> </w:t>
      </w:r>
      <w:r w:rsidRPr="00717AF1">
        <w:rPr>
          <w:spacing w:val="-1"/>
        </w:rPr>
        <w:t>a</w:t>
      </w:r>
      <w:r w:rsidRPr="00717AF1">
        <w:t>ny</w:t>
      </w:r>
      <w:r w:rsidRPr="00717AF1">
        <w:rPr>
          <w:spacing w:val="-2"/>
        </w:rPr>
        <w:t xml:space="preserve"> </w:t>
      </w:r>
      <w:r w:rsidRPr="00717AF1">
        <w:rPr>
          <w:spacing w:val="-1"/>
        </w:rPr>
        <w:t>q</w:t>
      </w:r>
      <w:r w:rsidRPr="00717AF1">
        <w:t>uest</w:t>
      </w:r>
      <w:r w:rsidRPr="00717AF1">
        <w:rPr>
          <w:spacing w:val="-1"/>
        </w:rPr>
        <w:t>i</w:t>
      </w:r>
      <w:r w:rsidRPr="00717AF1">
        <w:t xml:space="preserve">ons or </w:t>
      </w:r>
      <w:r w:rsidRPr="00717AF1">
        <w:rPr>
          <w:spacing w:val="-2"/>
        </w:rPr>
        <w:t>c</w:t>
      </w:r>
      <w:r w:rsidRPr="00717AF1">
        <w:t>o</w:t>
      </w:r>
      <w:r w:rsidRPr="00717AF1">
        <w:rPr>
          <w:spacing w:val="-1"/>
        </w:rPr>
        <w:t>m</w:t>
      </w:r>
      <w:r w:rsidRPr="00717AF1">
        <w:rPr>
          <w:spacing w:val="2"/>
        </w:rPr>
        <w:t>m</w:t>
      </w:r>
      <w:r w:rsidRPr="00717AF1">
        <w:rPr>
          <w:spacing w:val="-1"/>
        </w:rPr>
        <w:t>e</w:t>
      </w:r>
      <w:r w:rsidRPr="00717AF1">
        <w:t xml:space="preserve">nts </w:t>
      </w:r>
      <w:r w:rsidRPr="00717AF1">
        <w:rPr>
          <w:spacing w:val="-1"/>
        </w:rPr>
        <w:t>r</w:t>
      </w:r>
      <w:r w:rsidRPr="00717AF1">
        <w:t>e</w:t>
      </w:r>
      <w:r w:rsidRPr="00717AF1">
        <w:rPr>
          <w:spacing w:val="-2"/>
        </w:rPr>
        <w:t>g</w:t>
      </w:r>
      <w:r w:rsidRPr="00717AF1">
        <w:rPr>
          <w:spacing w:val="-1"/>
        </w:rPr>
        <w:t>ar</w:t>
      </w:r>
      <w:r w:rsidRPr="00717AF1">
        <w:t>d</w:t>
      </w:r>
      <w:r w:rsidRPr="00717AF1">
        <w:rPr>
          <w:spacing w:val="-1"/>
        </w:rPr>
        <w:t>i</w:t>
      </w:r>
      <w:r w:rsidRPr="00717AF1">
        <w:t>ng</w:t>
      </w:r>
      <w:r w:rsidRPr="00717AF1">
        <w:rPr>
          <w:spacing w:val="-1"/>
        </w:rPr>
        <w:t xml:space="preserve"> </w:t>
      </w:r>
      <w:r w:rsidRPr="00717AF1">
        <w:t>the</w:t>
      </w:r>
      <w:r w:rsidRPr="00717AF1">
        <w:rPr>
          <w:spacing w:val="2"/>
        </w:rPr>
        <w:t xml:space="preserve"> </w:t>
      </w:r>
      <w:r w:rsidRPr="00717AF1">
        <w:rPr>
          <w:spacing w:val="-1"/>
        </w:rPr>
        <w:t>in</w:t>
      </w:r>
      <w:r w:rsidRPr="00717AF1">
        <w:t>fo</w:t>
      </w:r>
      <w:r w:rsidRPr="00717AF1">
        <w:rPr>
          <w:spacing w:val="-1"/>
        </w:rPr>
        <w:t>rm</w:t>
      </w:r>
      <w:r w:rsidRPr="00717AF1">
        <w:t>at</w:t>
      </w:r>
      <w:r w:rsidRPr="00717AF1">
        <w:rPr>
          <w:spacing w:val="-1"/>
        </w:rPr>
        <w:t>i</w:t>
      </w:r>
      <w:r w:rsidRPr="00717AF1">
        <w:t>o</w:t>
      </w:r>
      <w:r w:rsidRPr="00717AF1">
        <w:rPr>
          <w:spacing w:val="-2"/>
        </w:rPr>
        <w:t>n</w:t>
      </w:r>
      <w:r w:rsidRPr="00717AF1">
        <w:t xml:space="preserve">, </w:t>
      </w:r>
      <w:r w:rsidRPr="00717AF1">
        <w:rPr>
          <w:spacing w:val="-1"/>
        </w:rPr>
        <w:t>p</w:t>
      </w:r>
      <w:r w:rsidRPr="00717AF1">
        <w:t>o</w:t>
      </w:r>
      <w:r w:rsidRPr="00717AF1">
        <w:rPr>
          <w:spacing w:val="-1"/>
        </w:rPr>
        <w:t>li</w:t>
      </w:r>
      <w:r w:rsidRPr="00717AF1">
        <w:t>cy</w:t>
      </w:r>
      <w:r w:rsidRPr="00717AF1">
        <w:rPr>
          <w:spacing w:val="-2"/>
        </w:rPr>
        <w:t xml:space="preserve"> </w:t>
      </w:r>
      <w:r w:rsidRPr="00717AF1">
        <w:t>and/or p</w:t>
      </w:r>
      <w:r w:rsidRPr="00717AF1">
        <w:rPr>
          <w:spacing w:val="-1"/>
        </w:rPr>
        <w:t>r</w:t>
      </w:r>
      <w:r w:rsidRPr="00717AF1">
        <w:t>oce</w:t>
      </w:r>
      <w:r w:rsidRPr="00717AF1">
        <w:rPr>
          <w:spacing w:val="-2"/>
        </w:rPr>
        <w:t>d</w:t>
      </w:r>
      <w:r w:rsidRPr="00717AF1">
        <w:t>u</w:t>
      </w:r>
      <w:r w:rsidRPr="00717AF1">
        <w:rPr>
          <w:spacing w:val="-1"/>
        </w:rPr>
        <w:t>r</w:t>
      </w:r>
      <w:r w:rsidRPr="00717AF1">
        <w:t xml:space="preserve">es </w:t>
      </w:r>
      <w:r w:rsidRPr="00717AF1">
        <w:rPr>
          <w:spacing w:val="-1"/>
        </w:rPr>
        <w:t>p</w:t>
      </w:r>
      <w:r w:rsidRPr="00717AF1">
        <w:t>ub</w:t>
      </w:r>
      <w:r w:rsidRPr="00717AF1">
        <w:rPr>
          <w:spacing w:val="-1"/>
        </w:rPr>
        <w:t>li</w:t>
      </w:r>
      <w:r w:rsidRPr="00717AF1">
        <w:t>sh</w:t>
      </w:r>
      <w:r w:rsidRPr="00717AF1">
        <w:rPr>
          <w:spacing w:val="-2"/>
        </w:rPr>
        <w:t>e</w:t>
      </w:r>
      <w:r w:rsidRPr="00717AF1">
        <w:t>d</w:t>
      </w:r>
      <w:r w:rsidRPr="00717AF1">
        <w:rPr>
          <w:spacing w:val="2"/>
        </w:rPr>
        <w:t xml:space="preserve"> </w:t>
      </w:r>
      <w:r w:rsidRPr="00717AF1">
        <w:rPr>
          <w:spacing w:val="-3"/>
        </w:rPr>
        <w:t>i</w:t>
      </w:r>
      <w:r w:rsidRPr="00717AF1">
        <w:t>n</w:t>
      </w:r>
      <w:r w:rsidRPr="00717AF1">
        <w:rPr>
          <w:spacing w:val="2"/>
        </w:rPr>
        <w:t xml:space="preserve"> </w:t>
      </w:r>
      <w:r w:rsidRPr="00717AF1">
        <w:t>th</w:t>
      </w:r>
      <w:r w:rsidRPr="00717AF1">
        <w:rPr>
          <w:spacing w:val="-1"/>
        </w:rPr>
        <w:t>i</w:t>
      </w:r>
      <w:r w:rsidRPr="00717AF1">
        <w:t xml:space="preserve">s </w:t>
      </w:r>
      <w:r w:rsidRPr="00717AF1">
        <w:rPr>
          <w:spacing w:val="-1"/>
        </w:rPr>
        <w:t>i</w:t>
      </w:r>
      <w:r w:rsidRPr="00717AF1">
        <w:t>ss</w:t>
      </w:r>
      <w:r w:rsidRPr="00717AF1">
        <w:rPr>
          <w:spacing w:val="-1"/>
        </w:rPr>
        <w:t>u</w:t>
      </w:r>
      <w:r w:rsidRPr="00717AF1">
        <w:t xml:space="preserve">e, </w:t>
      </w:r>
      <w:r w:rsidRPr="00717AF1">
        <w:rPr>
          <w:spacing w:val="-2"/>
        </w:rPr>
        <w:t>y</w:t>
      </w:r>
      <w:r w:rsidRPr="00717AF1">
        <w:t>ou</w:t>
      </w:r>
      <w:r w:rsidRPr="00717AF1">
        <w:rPr>
          <w:spacing w:val="-1"/>
        </w:rPr>
        <w:t xml:space="preserve"> </w:t>
      </w:r>
      <w:r w:rsidRPr="00717AF1">
        <w:rPr>
          <w:spacing w:val="2"/>
        </w:rPr>
        <w:t>m</w:t>
      </w:r>
      <w:r w:rsidRPr="00717AF1">
        <w:t>ay</w:t>
      </w:r>
      <w:r w:rsidRPr="00717AF1">
        <w:rPr>
          <w:spacing w:val="-2"/>
        </w:rPr>
        <w:t xml:space="preserve"> </w:t>
      </w:r>
      <w:r w:rsidRPr="00717AF1">
        <w:t>conta</w:t>
      </w:r>
      <w:r w:rsidRPr="00717AF1">
        <w:rPr>
          <w:spacing w:val="-2"/>
        </w:rPr>
        <w:t>c</w:t>
      </w:r>
      <w:r w:rsidRPr="00717AF1">
        <w:t xml:space="preserve">t </w:t>
      </w:r>
      <w:r>
        <w:t>Barry Solomon</w:t>
      </w:r>
      <w:r w:rsidRPr="00717AF1">
        <w:t xml:space="preserve"> at t</w:t>
      </w:r>
      <w:r w:rsidRPr="00717AF1">
        <w:rPr>
          <w:spacing w:val="-1"/>
        </w:rPr>
        <w:t>h</w:t>
      </w:r>
      <w:r w:rsidRPr="00717AF1">
        <w:t>e</w:t>
      </w:r>
      <w:r w:rsidRPr="00717AF1">
        <w:rPr>
          <w:spacing w:val="2"/>
        </w:rPr>
        <w:t xml:space="preserve"> </w:t>
      </w:r>
      <w:r w:rsidRPr="00717AF1">
        <w:t>e</w:t>
      </w:r>
      <w:r w:rsidRPr="00717AF1">
        <w:rPr>
          <w:spacing w:val="-3"/>
        </w:rPr>
        <w:t>-</w:t>
      </w:r>
      <w:r w:rsidRPr="00717AF1">
        <w:rPr>
          <w:spacing w:val="2"/>
        </w:rPr>
        <w:t>m</w:t>
      </w:r>
      <w:r w:rsidRPr="00717AF1">
        <w:t>ail add</w:t>
      </w:r>
      <w:r w:rsidRPr="00717AF1">
        <w:rPr>
          <w:spacing w:val="-1"/>
        </w:rPr>
        <w:t>r</w:t>
      </w:r>
      <w:r w:rsidRPr="00717AF1">
        <w:t>ess</w:t>
      </w:r>
      <w:r w:rsidRPr="00717AF1">
        <w:rPr>
          <w:spacing w:val="-2"/>
        </w:rPr>
        <w:t xml:space="preserve"> </w:t>
      </w:r>
      <w:r w:rsidRPr="00717AF1">
        <w:t>a</w:t>
      </w:r>
      <w:r w:rsidRPr="00717AF1">
        <w:rPr>
          <w:spacing w:val="-2"/>
        </w:rPr>
        <w:t>b</w:t>
      </w:r>
      <w:r w:rsidRPr="00717AF1">
        <w:t>o</w:t>
      </w:r>
      <w:r w:rsidRPr="00717AF1">
        <w:rPr>
          <w:spacing w:val="-2"/>
        </w:rPr>
        <w:t>v</w:t>
      </w:r>
      <w:r w:rsidRPr="00717AF1">
        <w:t>e. For</w:t>
      </w:r>
      <w:r w:rsidRPr="00717AF1">
        <w:rPr>
          <w:spacing w:val="-2"/>
        </w:rPr>
        <w:t xml:space="preserve"> </w:t>
      </w:r>
      <w:r w:rsidRPr="00717AF1">
        <w:rPr>
          <w:spacing w:val="3"/>
        </w:rPr>
        <w:t>f</w:t>
      </w:r>
      <w:r w:rsidRPr="00717AF1">
        <w:rPr>
          <w:spacing w:val="-1"/>
        </w:rPr>
        <w:t>u</w:t>
      </w:r>
      <w:r w:rsidRPr="00717AF1">
        <w:t>tu</w:t>
      </w:r>
      <w:r w:rsidRPr="00717AF1">
        <w:rPr>
          <w:spacing w:val="-1"/>
        </w:rPr>
        <w:t>r</w:t>
      </w:r>
      <w:r w:rsidRPr="00717AF1">
        <w:t>e</w:t>
      </w:r>
      <w:r w:rsidRPr="00717AF1">
        <w:rPr>
          <w:spacing w:val="2"/>
        </w:rPr>
        <w:t xml:space="preserve"> </w:t>
      </w:r>
      <w:r w:rsidRPr="00717AF1">
        <w:rPr>
          <w:spacing w:val="-1"/>
        </w:rPr>
        <w:t>i</w:t>
      </w:r>
      <w:r w:rsidRPr="00717AF1">
        <w:t>ssues</w:t>
      </w:r>
      <w:r w:rsidRPr="00717AF1">
        <w:rPr>
          <w:spacing w:val="-2"/>
        </w:rPr>
        <w:t xml:space="preserve"> </w:t>
      </w:r>
      <w:r w:rsidRPr="00717AF1">
        <w:t>p</w:t>
      </w:r>
      <w:r w:rsidRPr="00717AF1">
        <w:rPr>
          <w:spacing w:val="-1"/>
        </w:rPr>
        <w:t>le</w:t>
      </w:r>
      <w:r w:rsidRPr="00717AF1">
        <w:t>ase</w:t>
      </w:r>
      <w:r w:rsidRPr="00717AF1">
        <w:rPr>
          <w:spacing w:val="2"/>
        </w:rPr>
        <w:t xml:space="preserve"> </w:t>
      </w:r>
      <w:r w:rsidRPr="00717AF1">
        <w:rPr>
          <w:spacing w:val="-2"/>
        </w:rPr>
        <w:t>c</w:t>
      </w:r>
      <w:r w:rsidRPr="00717AF1">
        <w:t>on</w:t>
      </w:r>
      <w:r w:rsidRPr="00717AF1">
        <w:rPr>
          <w:spacing w:val="-2"/>
        </w:rPr>
        <w:t>t</w:t>
      </w:r>
      <w:r w:rsidRPr="00717AF1">
        <w:t>act t</w:t>
      </w:r>
      <w:r w:rsidRPr="00717AF1">
        <w:rPr>
          <w:spacing w:val="-1"/>
        </w:rPr>
        <w:t>h</w:t>
      </w:r>
      <w:r w:rsidRPr="00717AF1">
        <w:t>e</w:t>
      </w:r>
      <w:r w:rsidRPr="00717AF1">
        <w:rPr>
          <w:spacing w:val="2"/>
        </w:rPr>
        <w:t xml:space="preserve"> </w:t>
      </w:r>
      <w:r w:rsidRPr="00717AF1">
        <w:t>S</w:t>
      </w:r>
      <w:r w:rsidRPr="00717AF1">
        <w:rPr>
          <w:spacing w:val="-3"/>
        </w:rPr>
        <w:t>i</w:t>
      </w:r>
      <w:r w:rsidRPr="00717AF1">
        <w:rPr>
          <w:spacing w:val="2"/>
        </w:rPr>
        <w:t>m</w:t>
      </w:r>
      <w:r w:rsidRPr="00717AF1">
        <w:t>p</w:t>
      </w:r>
      <w:r w:rsidRPr="00717AF1">
        <w:rPr>
          <w:spacing w:val="-1"/>
        </w:rPr>
        <w:t>l</w:t>
      </w:r>
      <w:r w:rsidRPr="00717AF1">
        <w:rPr>
          <w:spacing w:val="-3"/>
        </w:rPr>
        <w:t>i</w:t>
      </w:r>
      <w:r w:rsidRPr="00717AF1">
        <w:rPr>
          <w:spacing w:val="3"/>
        </w:rPr>
        <w:t>f</w:t>
      </w:r>
      <w:r w:rsidRPr="00717AF1">
        <w:rPr>
          <w:spacing w:val="-1"/>
        </w:rPr>
        <w:t>i</w:t>
      </w:r>
      <w:r w:rsidRPr="00717AF1">
        <w:t>ed</w:t>
      </w:r>
      <w:r w:rsidRPr="00717AF1">
        <w:rPr>
          <w:spacing w:val="-1"/>
        </w:rPr>
        <w:t xml:space="preserve"> </w:t>
      </w:r>
      <w:r w:rsidRPr="00717AF1">
        <w:t>Ac</w:t>
      </w:r>
      <w:r w:rsidRPr="00717AF1">
        <w:rPr>
          <w:spacing w:val="-1"/>
        </w:rPr>
        <w:t>qui</w:t>
      </w:r>
      <w:r w:rsidRPr="00717AF1">
        <w:t>s</w:t>
      </w:r>
      <w:r w:rsidRPr="00717AF1">
        <w:rPr>
          <w:spacing w:val="-1"/>
        </w:rPr>
        <w:t>i</w:t>
      </w:r>
      <w:r w:rsidRPr="00717AF1">
        <w:t>t</w:t>
      </w:r>
      <w:r w:rsidRPr="00717AF1">
        <w:rPr>
          <w:spacing w:val="-1"/>
        </w:rPr>
        <w:t>i</w:t>
      </w:r>
      <w:r w:rsidRPr="00717AF1">
        <w:t xml:space="preserve">ons </w:t>
      </w:r>
      <w:r w:rsidRPr="00717AF1">
        <w:rPr>
          <w:spacing w:val="-1"/>
        </w:rPr>
        <w:t>H</w:t>
      </w:r>
      <w:r w:rsidRPr="00717AF1">
        <w:t>e</w:t>
      </w:r>
      <w:r w:rsidRPr="00717AF1">
        <w:rPr>
          <w:spacing w:val="-1"/>
        </w:rPr>
        <w:t>l</w:t>
      </w:r>
      <w:r w:rsidRPr="00717AF1">
        <w:t>p</w:t>
      </w:r>
      <w:r w:rsidRPr="00717AF1">
        <w:rPr>
          <w:spacing w:val="-1"/>
        </w:rPr>
        <w:t>li</w:t>
      </w:r>
      <w:r w:rsidRPr="00717AF1">
        <w:t>ne</w:t>
      </w:r>
      <w:r w:rsidRPr="00717AF1">
        <w:rPr>
          <w:spacing w:val="-1"/>
        </w:rPr>
        <w:t xml:space="preserve"> </w:t>
      </w:r>
      <w:r w:rsidRPr="00717AF1">
        <w:t>on 301</w:t>
      </w:r>
      <w:r w:rsidRPr="00717AF1">
        <w:rPr>
          <w:spacing w:val="-1"/>
        </w:rPr>
        <w:t>-4</w:t>
      </w:r>
      <w:r w:rsidRPr="00717AF1">
        <w:t>96</w:t>
      </w:r>
      <w:r w:rsidRPr="00717AF1">
        <w:rPr>
          <w:spacing w:val="-1"/>
        </w:rPr>
        <w:t>-</w:t>
      </w:r>
      <w:r w:rsidRPr="00717AF1">
        <w:t>0</w:t>
      </w:r>
      <w:r w:rsidRPr="00717AF1">
        <w:rPr>
          <w:spacing w:val="-2"/>
        </w:rPr>
        <w:t>4</w:t>
      </w:r>
      <w:r w:rsidRPr="00717AF1">
        <w:t>00</w:t>
      </w:r>
      <w:r w:rsidRPr="00717AF1">
        <w:rPr>
          <w:spacing w:val="-1"/>
        </w:rPr>
        <w:t xml:space="preserve"> </w:t>
      </w:r>
      <w:r w:rsidRPr="00717AF1">
        <w:t xml:space="preserve">or </w:t>
      </w:r>
      <w:r w:rsidRPr="00717AF1">
        <w:rPr>
          <w:spacing w:val="-2"/>
        </w:rPr>
        <w:t>v</w:t>
      </w:r>
      <w:r w:rsidRPr="00717AF1">
        <w:rPr>
          <w:spacing w:val="-1"/>
        </w:rPr>
        <w:t>i</w:t>
      </w:r>
      <w:r w:rsidRPr="00717AF1">
        <w:t>a</w:t>
      </w:r>
      <w:r w:rsidRPr="00717AF1">
        <w:rPr>
          <w:spacing w:val="2"/>
        </w:rPr>
        <w:t xml:space="preserve"> </w:t>
      </w:r>
      <w:r w:rsidRPr="00717AF1">
        <w:t>e</w:t>
      </w:r>
      <w:r w:rsidRPr="00717AF1">
        <w:rPr>
          <w:spacing w:val="-1"/>
        </w:rPr>
        <w:t>-</w:t>
      </w:r>
      <w:r w:rsidRPr="00717AF1">
        <w:rPr>
          <w:spacing w:val="2"/>
        </w:rPr>
        <w:t>m</w:t>
      </w:r>
      <w:r w:rsidRPr="00717AF1">
        <w:t xml:space="preserve">ail at </w:t>
      </w:r>
      <w:hyperlink r:id="rId76" w:tooltip="OALMnewsletter@mail.nih.gov" w:history="1">
        <w:r w:rsidRPr="00717AF1">
          <w:rPr>
            <w:color w:val="0563C1"/>
            <w:u w:val="single"/>
          </w:rPr>
          <w:t>OALMnewsletter@mail.nih.gov</w:t>
        </w:r>
      </w:hyperlink>
      <w:hyperlink>
        <w:r w:rsidRPr="00717AF1">
          <w:rPr>
            <w:color w:val="000000"/>
          </w:rPr>
          <w:t xml:space="preserve"> and</w:t>
        </w:r>
        <w:r w:rsidRPr="00717AF1">
          <w:rPr>
            <w:color w:val="000000"/>
            <w:spacing w:val="-1"/>
          </w:rPr>
          <w:t xml:space="preserve"> </w:t>
        </w:r>
        <w:r w:rsidRPr="00717AF1">
          <w:rPr>
            <w:color w:val="000000"/>
            <w:spacing w:val="-2"/>
          </w:rPr>
          <w:t>y</w:t>
        </w:r>
        <w:r w:rsidRPr="00717AF1">
          <w:rPr>
            <w:color w:val="000000"/>
          </w:rPr>
          <w:t>ou</w:t>
        </w:r>
        <w:r w:rsidRPr="00717AF1">
          <w:rPr>
            <w:color w:val="000000"/>
            <w:spacing w:val="2"/>
          </w:rPr>
          <w:t xml:space="preserve"> </w:t>
        </w:r>
        <w:r w:rsidRPr="00717AF1">
          <w:rPr>
            <w:color w:val="000000"/>
            <w:spacing w:val="-3"/>
          </w:rPr>
          <w:t>w</w:t>
        </w:r>
        <w:r w:rsidRPr="00717AF1">
          <w:rPr>
            <w:color w:val="000000"/>
            <w:spacing w:val="-1"/>
          </w:rPr>
          <w:t>il</w:t>
        </w:r>
        <w:r w:rsidRPr="00717AF1">
          <w:rPr>
            <w:color w:val="000000"/>
          </w:rPr>
          <w:t xml:space="preserve">l be </w:t>
        </w:r>
        <w:r w:rsidRPr="00717AF1">
          <w:rPr>
            <w:color w:val="000000"/>
            <w:spacing w:val="-1"/>
          </w:rPr>
          <w:t>r</w:t>
        </w:r>
        <w:r w:rsidRPr="00717AF1">
          <w:rPr>
            <w:color w:val="000000"/>
          </w:rPr>
          <w:t>efe</w:t>
        </w:r>
        <w:r w:rsidRPr="00717AF1">
          <w:rPr>
            <w:color w:val="000000"/>
            <w:spacing w:val="-1"/>
          </w:rPr>
          <w:t>rr</w:t>
        </w:r>
        <w:r w:rsidRPr="00717AF1">
          <w:rPr>
            <w:color w:val="000000"/>
          </w:rPr>
          <w:t>ed</w:t>
        </w:r>
        <w:r w:rsidRPr="00717AF1">
          <w:rPr>
            <w:color w:val="000000"/>
            <w:spacing w:val="2"/>
          </w:rPr>
          <w:t xml:space="preserve"> </w:t>
        </w:r>
        <w:r w:rsidRPr="00717AF1">
          <w:rPr>
            <w:color w:val="000000"/>
            <w:spacing w:val="-2"/>
          </w:rPr>
          <w:t>t</w:t>
        </w:r>
        <w:r w:rsidRPr="00717AF1">
          <w:rPr>
            <w:color w:val="000000"/>
          </w:rPr>
          <w:t>o</w:t>
        </w:r>
        <w:r w:rsidRPr="00717AF1">
          <w:rPr>
            <w:color w:val="000000"/>
            <w:spacing w:val="2"/>
          </w:rPr>
          <w:t xml:space="preserve"> </w:t>
        </w:r>
        <w:r w:rsidRPr="00717AF1">
          <w:rPr>
            <w:color w:val="000000"/>
          </w:rPr>
          <w:t>t</w:t>
        </w:r>
        <w:r w:rsidRPr="00717AF1">
          <w:rPr>
            <w:color w:val="000000"/>
            <w:spacing w:val="-1"/>
          </w:rPr>
          <w:t>h</w:t>
        </w:r>
        <w:r w:rsidRPr="00717AF1">
          <w:rPr>
            <w:color w:val="000000"/>
          </w:rPr>
          <w:t>e</w:t>
        </w:r>
        <w:r w:rsidRPr="00717AF1">
          <w:rPr>
            <w:color w:val="000000"/>
            <w:spacing w:val="2"/>
          </w:rPr>
          <w:t xml:space="preserve"> </w:t>
        </w:r>
        <w:r w:rsidRPr="00717AF1">
          <w:rPr>
            <w:color w:val="000000"/>
            <w:spacing w:val="-1"/>
          </w:rPr>
          <w:t>a</w:t>
        </w:r>
        <w:r w:rsidRPr="00717AF1">
          <w:rPr>
            <w:color w:val="000000"/>
          </w:rPr>
          <w:t>pp</w:t>
        </w:r>
        <w:r w:rsidRPr="00717AF1">
          <w:rPr>
            <w:color w:val="000000"/>
            <w:spacing w:val="-1"/>
          </w:rPr>
          <w:t>ro</w:t>
        </w:r>
        <w:r w:rsidRPr="00717AF1">
          <w:rPr>
            <w:color w:val="000000"/>
          </w:rPr>
          <w:t>p</w:t>
        </w:r>
        <w:r w:rsidRPr="00717AF1">
          <w:rPr>
            <w:color w:val="000000"/>
            <w:spacing w:val="-1"/>
          </w:rPr>
          <w:t>ri</w:t>
        </w:r>
        <w:r w:rsidRPr="00717AF1">
          <w:rPr>
            <w:color w:val="000000"/>
          </w:rPr>
          <w:t>ate</w:t>
        </w:r>
        <w:r w:rsidRPr="00717AF1">
          <w:rPr>
            <w:color w:val="000000"/>
            <w:spacing w:val="-1"/>
          </w:rPr>
          <w:t xml:space="preserve"> </w:t>
        </w:r>
        <w:r w:rsidRPr="00717AF1">
          <w:rPr>
            <w:color w:val="000000"/>
          </w:rPr>
          <w:t>ed</w:t>
        </w:r>
        <w:r w:rsidRPr="00717AF1">
          <w:rPr>
            <w:color w:val="000000"/>
            <w:spacing w:val="-1"/>
          </w:rPr>
          <w:t>i</w:t>
        </w:r>
        <w:r w:rsidRPr="00717AF1">
          <w:rPr>
            <w:color w:val="000000"/>
          </w:rPr>
          <w:t>to</w:t>
        </w:r>
        <w:r w:rsidRPr="00717AF1">
          <w:rPr>
            <w:color w:val="000000"/>
            <w:spacing w:val="-1"/>
          </w:rPr>
          <w:t>r</w:t>
        </w:r>
        <w:r w:rsidRPr="00717AF1">
          <w:rPr>
            <w:color w:val="000000"/>
          </w:rPr>
          <w:t>.</w:t>
        </w:r>
      </w:hyperlink>
      <w:r w:rsidRPr="00717AF1">
        <w:t xml:space="preserve"> </w:t>
      </w:r>
    </w:p>
    <w:p w14:paraId="3AEE9172" w14:textId="77777777" w:rsidR="00CF32EE" w:rsidRPr="00717AF1" w:rsidRDefault="00CF32EE" w:rsidP="00CF32EE">
      <w:pPr>
        <w:rPr>
          <w:rFonts w:eastAsiaTheme="minorHAnsi"/>
        </w:rPr>
      </w:pPr>
    </w:p>
    <w:p w14:paraId="6D4E9B0D" w14:textId="77777777" w:rsidR="00CF32EE" w:rsidRDefault="00CF32EE"/>
    <w:sectPr w:rsidR="00CF3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elio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CA9"/>
    <w:multiLevelType w:val="hybridMultilevel"/>
    <w:tmpl w:val="2CECB446"/>
    <w:lvl w:ilvl="0" w:tplc="04090001">
      <w:start w:val="1"/>
      <w:numFmt w:val="bullet"/>
      <w:lvlText w:val=""/>
      <w:lvlJc w:val="left"/>
      <w:pPr>
        <w:ind w:left="173" w:hanging="360"/>
      </w:pPr>
      <w:rPr>
        <w:rFonts w:ascii="Symbol" w:hAnsi="Symbol" w:hint="default"/>
      </w:rPr>
    </w:lvl>
    <w:lvl w:ilvl="1" w:tplc="04090003">
      <w:start w:val="1"/>
      <w:numFmt w:val="bullet"/>
      <w:lvlText w:val="o"/>
      <w:lvlJc w:val="left"/>
      <w:pPr>
        <w:ind w:left="893" w:hanging="360"/>
      </w:pPr>
      <w:rPr>
        <w:rFonts w:ascii="Courier New" w:hAnsi="Courier New" w:cs="Courier New" w:hint="default"/>
      </w:rPr>
    </w:lvl>
    <w:lvl w:ilvl="2" w:tplc="04090001">
      <w:start w:val="1"/>
      <w:numFmt w:val="bullet"/>
      <w:lvlText w:val=""/>
      <w:lvlJc w:val="left"/>
      <w:pPr>
        <w:ind w:left="1613" w:hanging="360"/>
      </w:pPr>
      <w:rPr>
        <w:rFonts w:ascii="Symbol" w:hAnsi="Symbol" w:hint="default"/>
      </w:rPr>
    </w:lvl>
    <w:lvl w:ilvl="3" w:tplc="04090001">
      <w:start w:val="1"/>
      <w:numFmt w:val="bullet"/>
      <w:lvlText w:val=""/>
      <w:lvlJc w:val="left"/>
      <w:pPr>
        <w:ind w:left="2333" w:hanging="360"/>
      </w:pPr>
      <w:rPr>
        <w:rFonts w:ascii="Symbol" w:hAnsi="Symbol" w:hint="default"/>
      </w:rPr>
    </w:lvl>
    <w:lvl w:ilvl="4" w:tplc="04090003">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 w15:restartNumberingAfterBreak="0">
    <w:nsid w:val="03FA4B76"/>
    <w:multiLevelType w:val="hybridMultilevel"/>
    <w:tmpl w:val="59EE7320"/>
    <w:lvl w:ilvl="0" w:tplc="0B54F39E">
      <w:start w:val="1"/>
      <w:numFmt w:val="bullet"/>
      <w:lvlText w:val=""/>
      <w:lvlJc w:val="left"/>
      <w:pPr>
        <w:tabs>
          <w:tab w:val="num" w:pos="720"/>
        </w:tabs>
        <w:ind w:left="720" w:hanging="360"/>
      </w:pPr>
      <w:rPr>
        <w:rFonts w:ascii="Wingdings" w:hAnsi="Wingdings" w:hint="default"/>
      </w:rPr>
    </w:lvl>
    <w:lvl w:ilvl="1" w:tplc="9BE0609C">
      <w:start w:val="4071"/>
      <w:numFmt w:val="bullet"/>
      <w:lvlText w:val=""/>
      <w:lvlJc w:val="left"/>
      <w:pPr>
        <w:tabs>
          <w:tab w:val="num" w:pos="1440"/>
        </w:tabs>
        <w:ind w:left="1440" w:hanging="360"/>
      </w:pPr>
      <w:rPr>
        <w:rFonts w:ascii="Wingdings" w:hAnsi="Wingdings" w:hint="default"/>
      </w:rPr>
    </w:lvl>
    <w:lvl w:ilvl="2" w:tplc="BDDC4D7A">
      <w:start w:val="4071"/>
      <w:numFmt w:val="bullet"/>
      <w:lvlText w:val=""/>
      <w:lvlJc w:val="left"/>
      <w:pPr>
        <w:tabs>
          <w:tab w:val="num" w:pos="2160"/>
        </w:tabs>
        <w:ind w:left="2160" w:hanging="360"/>
      </w:pPr>
      <w:rPr>
        <w:rFonts w:ascii="Wingdings" w:hAnsi="Wingdings" w:hint="default"/>
      </w:rPr>
    </w:lvl>
    <w:lvl w:ilvl="3" w:tplc="D6AE61C2" w:tentative="1">
      <w:start w:val="1"/>
      <w:numFmt w:val="bullet"/>
      <w:lvlText w:val=""/>
      <w:lvlJc w:val="left"/>
      <w:pPr>
        <w:tabs>
          <w:tab w:val="num" w:pos="2880"/>
        </w:tabs>
        <w:ind w:left="2880" w:hanging="360"/>
      </w:pPr>
      <w:rPr>
        <w:rFonts w:ascii="Wingdings" w:hAnsi="Wingdings" w:hint="default"/>
      </w:rPr>
    </w:lvl>
    <w:lvl w:ilvl="4" w:tplc="A3AC8714" w:tentative="1">
      <w:start w:val="1"/>
      <w:numFmt w:val="bullet"/>
      <w:lvlText w:val=""/>
      <w:lvlJc w:val="left"/>
      <w:pPr>
        <w:tabs>
          <w:tab w:val="num" w:pos="3600"/>
        </w:tabs>
        <w:ind w:left="3600" w:hanging="360"/>
      </w:pPr>
      <w:rPr>
        <w:rFonts w:ascii="Wingdings" w:hAnsi="Wingdings" w:hint="default"/>
      </w:rPr>
    </w:lvl>
    <w:lvl w:ilvl="5" w:tplc="761ED1A6" w:tentative="1">
      <w:start w:val="1"/>
      <w:numFmt w:val="bullet"/>
      <w:lvlText w:val=""/>
      <w:lvlJc w:val="left"/>
      <w:pPr>
        <w:tabs>
          <w:tab w:val="num" w:pos="4320"/>
        </w:tabs>
        <w:ind w:left="4320" w:hanging="360"/>
      </w:pPr>
      <w:rPr>
        <w:rFonts w:ascii="Wingdings" w:hAnsi="Wingdings" w:hint="default"/>
      </w:rPr>
    </w:lvl>
    <w:lvl w:ilvl="6" w:tplc="7E96C044" w:tentative="1">
      <w:start w:val="1"/>
      <w:numFmt w:val="bullet"/>
      <w:lvlText w:val=""/>
      <w:lvlJc w:val="left"/>
      <w:pPr>
        <w:tabs>
          <w:tab w:val="num" w:pos="5040"/>
        </w:tabs>
        <w:ind w:left="5040" w:hanging="360"/>
      </w:pPr>
      <w:rPr>
        <w:rFonts w:ascii="Wingdings" w:hAnsi="Wingdings" w:hint="default"/>
      </w:rPr>
    </w:lvl>
    <w:lvl w:ilvl="7" w:tplc="81E48EB4" w:tentative="1">
      <w:start w:val="1"/>
      <w:numFmt w:val="bullet"/>
      <w:lvlText w:val=""/>
      <w:lvlJc w:val="left"/>
      <w:pPr>
        <w:tabs>
          <w:tab w:val="num" w:pos="5760"/>
        </w:tabs>
        <w:ind w:left="5760" w:hanging="360"/>
      </w:pPr>
      <w:rPr>
        <w:rFonts w:ascii="Wingdings" w:hAnsi="Wingdings" w:hint="default"/>
      </w:rPr>
    </w:lvl>
    <w:lvl w:ilvl="8" w:tplc="1EF88BF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37F2A"/>
    <w:multiLevelType w:val="hybridMultilevel"/>
    <w:tmpl w:val="75FCC7CC"/>
    <w:lvl w:ilvl="0" w:tplc="7850FBDA">
      <w:start w:val="1"/>
      <w:numFmt w:val="bullet"/>
      <w:lvlText w:val="•"/>
      <w:lvlJc w:val="left"/>
      <w:pPr>
        <w:tabs>
          <w:tab w:val="num" w:pos="720"/>
        </w:tabs>
        <w:ind w:left="720" w:hanging="360"/>
      </w:pPr>
      <w:rPr>
        <w:rFonts w:ascii="Arial" w:hAnsi="Arial" w:hint="default"/>
      </w:rPr>
    </w:lvl>
    <w:lvl w:ilvl="1" w:tplc="86388660">
      <w:start w:val="27954"/>
      <w:numFmt w:val="bullet"/>
      <w:lvlText w:val="–"/>
      <w:lvlJc w:val="left"/>
      <w:pPr>
        <w:tabs>
          <w:tab w:val="num" w:pos="1440"/>
        </w:tabs>
        <w:ind w:left="1440" w:hanging="360"/>
      </w:pPr>
      <w:rPr>
        <w:rFonts w:ascii="Arial" w:hAnsi="Arial" w:hint="default"/>
      </w:rPr>
    </w:lvl>
    <w:lvl w:ilvl="2" w:tplc="8DA8ED4A" w:tentative="1">
      <w:start w:val="1"/>
      <w:numFmt w:val="bullet"/>
      <w:lvlText w:val="•"/>
      <w:lvlJc w:val="left"/>
      <w:pPr>
        <w:tabs>
          <w:tab w:val="num" w:pos="2160"/>
        </w:tabs>
        <w:ind w:left="2160" w:hanging="360"/>
      </w:pPr>
      <w:rPr>
        <w:rFonts w:ascii="Arial" w:hAnsi="Arial" w:hint="default"/>
      </w:rPr>
    </w:lvl>
    <w:lvl w:ilvl="3" w:tplc="CC348A3C" w:tentative="1">
      <w:start w:val="1"/>
      <w:numFmt w:val="bullet"/>
      <w:lvlText w:val="•"/>
      <w:lvlJc w:val="left"/>
      <w:pPr>
        <w:tabs>
          <w:tab w:val="num" w:pos="2880"/>
        </w:tabs>
        <w:ind w:left="2880" w:hanging="360"/>
      </w:pPr>
      <w:rPr>
        <w:rFonts w:ascii="Arial" w:hAnsi="Arial" w:hint="default"/>
      </w:rPr>
    </w:lvl>
    <w:lvl w:ilvl="4" w:tplc="8482163C" w:tentative="1">
      <w:start w:val="1"/>
      <w:numFmt w:val="bullet"/>
      <w:lvlText w:val="•"/>
      <w:lvlJc w:val="left"/>
      <w:pPr>
        <w:tabs>
          <w:tab w:val="num" w:pos="3600"/>
        </w:tabs>
        <w:ind w:left="3600" w:hanging="360"/>
      </w:pPr>
      <w:rPr>
        <w:rFonts w:ascii="Arial" w:hAnsi="Arial" w:hint="default"/>
      </w:rPr>
    </w:lvl>
    <w:lvl w:ilvl="5" w:tplc="77B27A76" w:tentative="1">
      <w:start w:val="1"/>
      <w:numFmt w:val="bullet"/>
      <w:lvlText w:val="•"/>
      <w:lvlJc w:val="left"/>
      <w:pPr>
        <w:tabs>
          <w:tab w:val="num" w:pos="4320"/>
        </w:tabs>
        <w:ind w:left="4320" w:hanging="360"/>
      </w:pPr>
      <w:rPr>
        <w:rFonts w:ascii="Arial" w:hAnsi="Arial" w:hint="default"/>
      </w:rPr>
    </w:lvl>
    <w:lvl w:ilvl="6" w:tplc="9F54F5B4" w:tentative="1">
      <w:start w:val="1"/>
      <w:numFmt w:val="bullet"/>
      <w:lvlText w:val="•"/>
      <w:lvlJc w:val="left"/>
      <w:pPr>
        <w:tabs>
          <w:tab w:val="num" w:pos="5040"/>
        </w:tabs>
        <w:ind w:left="5040" w:hanging="360"/>
      </w:pPr>
      <w:rPr>
        <w:rFonts w:ascii="Arial" w:hAnsi="Arial" w:hint="default"/>
      </w:rPr>
    </w:lvl>
    <w:lvl w:ilvl="7" w:tplc="849002C2" w:tentative="1">
      <w:start w:val="1"/>
      <w:numFmt w:val="bullet"/>
      <w:lvlText w:val="•"/>
      <w:lvlJc w:val="left"/>
      <w:pPr>
        <w:tabs>
          <w:tab w:val="num" w:pos="5760"/>
        </w:tabs>
        <w:ind w:left="5760" w:hanging="360"/>
      </w:pPr>
      <w:rPr>
        <w:rFonts w:ascii="Arial" w:hAnsi="Arial" w:hint="default"/>
      </w:rPr>
    </w:lvl>
    <w:lvl w:ilvl="8" w:tplc="03B8E6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CF54FA"/>
    <w:multiLevelType w:val="hybridMultilevel"/>
    <w:tmpl w:val="6910E7C8"/>
    <w:lvl w:ilvl="0" w:tplc="26E0DF8A">
      <w:start w:val="2019"/>
      <w:numFmt w:val="bullet"/>
      <w:lvlText w:val=""/>
      <w:lvlJc w:val="left"/>
      <w:pPr>
        <w:ind w:left="720" w:hanging="360"/>
      </w:pPr>
      <w:rPr>
        <w:rFonts w:ascii="Symbol" w:eastAsiaTheme="minorHAnsi" w:hAnsi="Symbol" w:cs="Melio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C3846"/>
    <w:multiLevelType w:val="hybridMultilevel"/>
    <w:tmpl w:val="5E380F6E"/>
    <w:lvl w:ilvl="0" w:tplc="136C5C54">
      <w:start w:val="3"/>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7919BD"/>
    <w:multiLevelType w:val="hybridMultilevel"/>
    <w:tmpl w:val="247606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3B12DF"/>
    <w:multiLevelType w:val="multilevel"/>
    <w:tmpl w:val="6A385570"/>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7" w15:restartNumberingAfterBreak="0">
    <w:nsid w:val="682771F4"/>
    <w:multiLevelType w:val="hybridMultilevel"/>
    <w:tmpl w:val="52DAF882"/>
    <w:lvl w:ilvl="0" w:tplc="3B6AA13A">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EDA63FC"/>
    <w:multiLevelType w:val="hybridMultilevel"/>
    <w:tmpl w:val="AD900C8A"/>
    <w:lvl w:ilvl="0" w:tplc="9280E24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DE6"/>
    <w:rsid w:val="0000261D"/>
    <w:rsid w:val="00045811"/>
    <w:rsid w:val="001D0F40"/>
    <w:rsid w:val="001D77B8"/>
    <w:rsid w:val="001F49D0"/>
    <w:rsid w:val="00202860"/>
    <w:rsid w:val="003344FE"/>
    <w:rsid w:val="0043425A"/>
    <w:rsid w:val="00466E0D"/>
    <w:rsid w:val="00480F16"/>
    <w:rsid w:val="005F2DE6"/>
    <w:rsid w:val="00671953"/>
    <w:rsid w:val="006C54A4"/>
    <w:rsid w:val="00757C17"/>
    <w:rsid w:val="0078793D"/>
    <w:rsid w:val="00917FB3"/>
    <w:rsid w:val="00980755"/>
    <w:rsid w:val="009923BD"/>
    <w:rsid w:val="00A6699D"/>
    <w:rsid w:val="00AC5076"/>
    <w:rsid w:val="00C524BE"/>
    <w:rsid w:val="00CF32EE"/>
    <w:rsid w:val="00D433E5"/>
    <w:rsid w:val="00F0498F"/>
    <w:rsid w:val="00F51D62"/>
    <w:rsid w:val="00F93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C1711"/>
  <w15:chartTrackingRefBased/>
  <w15:docId w15:val="{B50AB87E-39DC-4C63-AEF5-977C42652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DE6"/>
    <w:pPr>
      <w:spacing w:after="200" w:line="276" w:lineRule="auto"/>
    </w:pPr>
    <w:rPr>
      <w:rFonts w:ascii="Times New Roman" w:eastAsiaTheme="minorEastAsia" w:hAnsi="Times New Roman"/>
      <w:sz w:val="24"/>
    </w:rPr>
  </w:style>
  <w:style w:type="paragraph" w:styleId="Heading1">
    <w:name w:val="heading 1"/>
    <w:basedOn w:val="Normal"/>
    <w:next w:val="Normal"/>
    <w:link w:val="Heading1Char"/>
    <w:uiPriority w:val="9"/>
    <w:qFormat/>
    <w:rsid w:val="005F2DE6"/>
    <w:pPr>
      <w:spacing w:before="240" w:after="240" w:line="240" w:lineRule="auto"/>
      <w:contextualSpacing/>
      <w:jc w:val="center"/>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semiHidden/>
    <w:unhideWhenUsed/>
    <w:qFormat/>
    <w:rsid w:val="005F2D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DE6"/>
    <w:rPr>
      <w:rFonts w:ascii="Arial" w:eastAsiaTheme="majorEastAsia" w:hAnsi="Arial" w:cstheme="majorBidi"/>
      <w:b/>
      <w:bCs/>
      <w:sz w:val="32"/>
      <w:szCs w:val="28"/>
    </w:rPr>
  </w:style>
  <w:style w:type="character" w:styleId="Hyperlink">
    <w:name w:val="Hyperlink"/>
    <w:basedOn w:val="DefaultParagraphFont"/>
    <w:uiPriority w:val="99"/>
    <w:unhideWhenUsed/>
    <w:rsid w:val="005F2DE6"/>
    <w:rPr>
      <w:color w:val="0563C1" w:themeColor="hyperlink"/>
      <w:u w:val="single"/>
    </w:rPr>
  </w:style>
  <w:style w:type="character" w:customStyle="1" w:styleId="Heading2Char">
    <w:name w:val="Heading 2 Char"/>
    <w:basedOn w:val="DefaultParagraphFont"/>
    <w:link w:val="Heading2"/>
    <w:uiPriority w:val="9"/>
    <w:semiHidden/>
    <w:rsid w:val="005F2DE6"/>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5F2DE6"/>
    <w:rPr>
      <w:b/>
      <w:bCs/>
      <w:i/>
      <w:iCs/>
    </w:rPr>
  </w:style>
  <w:style w:type="paragraph" w:styleId="ListParagraph">
    <w:name w:val="List Paragraph"/>
    <w:basedOn w:val="Normal"/>
    <w:uiPriority w:val="34"/>
    <w:qFormat/>
    <w:rsid w:val="005F2DE6"/>
    <w:pPr>
      <w:spacing w:line="288" w:lineRule="auto"/>
      <w:ind w:left="720"/>
      <w:contextualSpacing/>
    </w:pPr>
    <w:rPr>
      <w:rFonts w:ascii="Verdana" w:hAnsi="Verdana"/>
      <w:szCs w:val="21"/>
    </w:rPr>
  </w:style>
  <w:style w:type="character" w:styleId="Strong">
    <w:name w:val="Strong"/>
    <w:basedOn w:val="DefaultParagraphFont"/>
    <w:uiPriority w:val="22"/>
    <w:qFormat/>
    <w:rsid w:val="005F2DE6"/>
    <w:rPr>
      <w:b/>
      <w:bCs/>
    </w:rPr>
  </w:style>
  <w:style w:type="character" w:styleId="Emphasis">
    <w:name w:val="Emphasis"/>
    <w:basedOn w:val="DefaultParagraphFont"/>
    <w:uiPriority w:val="20"/>
    <w:qFormat/>
    <w:rsid w:val="005F2DE6"/>
    <w:rPr>
      <w:i/>
      <w:iCs/>
      <w:color w:val="00419E"/>
    </w:rPr>
  </w:style>
  <w:style w:type="character" w:styleId="SubtleEmphasis">
    <w:name w:val="Subtle Emphasis"/>
    <w:basedOn w:val="DefaultParagraphFont"/>
    <w:uiPriority w:val="19"/>
    <w:qFormat/>
    <w:rsid w:val="005F2DE6"/>
    <w:rPr>
      <w:i/>
      <w:iCs/>
    </w:rPr>
  </w:style>
  <w:style w:type="character" w:customStyle="1" w:styleId="ms-rtefontsize-3">
    <w:name w:val="ms-rtefontsize-3"/>
    <w:basedOn w:val="DefaultParagraphFont"/>
    <w:rsid w:val="005F2DE6"/>
  </w:style>
  <w:style w:type="character" w:styleId="UnresolvedMention">
    <w:name w:val="Unresolved Mention"/>
    <w:basedOn w:val="DefaultParagraphFont"/>
    <w:uiPriority w:val="99"/>
    <w:semiHidden/>
    <w:unhideWhenUsed/>
    <w:rsid w:val="00757C17"/>
    <w:rPr>
      <w:color w:val="605E5C"/>
      <w:shd w:val="clear" w:color="auto" w:fill="E1DFDD"/>
    </w:rPr>
  </w:style>
  <w:style w:type="table" w:styleId="TableGrid">
    <w:name w:val="Table Grid"/>
    <w:basedOn w:val="TableNormal"/>
    <w:uiPriority w:val="39"/>
    <w:rsid w:val="00CF32EE"/>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433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33E5"/>
    <w:rPr>
      <w:rFonts w:asciiTheme="majorHAnsi" w:eastAsiaTheme="majorEastAsia" w:hAnsiTheme="majorHAnsi" w:cstheme="majorBidi"/>
      <w:spacing w:val="-10"/>
      <w:kern w:val="28"/>
      <w:sz w:val="56"/>
      <w:szCs w:val="56"/>
    </w:rPr>
  </w:style>
  <w:style w:type="paragraph" w:styleId="NoSpacing">
    <w:name w:val="No Spacing"/>
    <w:uiPriority w:val="1"/>
    <w:qFormat/>
    <w:rsid w:val="00A669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833374">
      <w:bodyDiv w:val="1"/>
      <w:marLeft w:val="0"/>
      <w:marRight w:val="0"/>
      <w:marTop w:val="0"/>
      <w:marBottom w:val="0"/>
      <w:divBdr>
        <w:top w:val="none" w:sz="0" w:space="0" w:color="auto"/>
        <w:left w:val="none" w:sz="0" w:space="0" w:color="auto"/>
        <w:bottom w:val="none" w:sz="0" w:space="0" w:color="auto"/>
        <w:right w:val="none" w:sz="0" w:space="0" w:color="auto"/>
      </w:divBdr>
      <w:divsChild>
        <w:div w:id="1947614908">
          <w:marLeft w:val="0"/>
          <w:marRight w:val="0"/>
          <w:marTop w:val="0"/>
          <w:marBottom w:val="0"/>
          <w:divBdr>
            <w:top w:val="none" w:sz="0" w:space="0" w:color="auto"/>
            <w:left w:val="none" w:sz="0" w:space="0" w:color="auto"/>
            <w:bottom w:val="none" w:sz="0" w:space="0" w:color="auto"/>
            <w:right w:val="none" w:sz="0" w:space="0" w:color="auto"/>
          </w:divBdr>
          <w:divsChild>
            <w:div w:id="782653349">
              <w:marLeft w:val="0"/>
              <w:marRight w:val="0"/>
              <w:marTop w:val="0"/>
              <w:marBottom w:val="0"/>
              <w:divBdr>
                <w:top w:val="none" w:sz="0" w:space="0" w:color="auto"/>
                <w:left w:val="none" w:sz="0" w:space="0" w:color="auto"/>
                <w:bottom w:val="none" w:sz="0" w:space="0" w:color="auto"/>
                <w:right w:val="none" w:sz="0" w:space="0" w:color="auto"/>
              </w:divBdr>
              <w:divsChild>
                <w:div w:id="1823738972">
                  <w:marLeft w:val="0"/>
                  <w:marRight w:val="0"/>
                  <w:marTop w:val="0"/>
                  <w:marBottom w:val="0"/>
                  <w:divBdr>
                    <w:top w:val="none" w:sz="0" w:space="0" w:color="auto"/>
                    <w:left w:val="none" w:sz="0" w:space="0" w:color="auto"/>
                    <w:bottom w:val="none" w:sz="0" w:space="0" w:color="auto"/>
                    <w:right w:val="none" w:sz="0" w:space="0" w:color="auto"/>
                  </w:divBdr>
                  <w:divsChild>
                    <w:div w:id="1453403295">
                      <w:marLeft w:val="0"/>
                      <w:marRight w:val="0"/>
                      <w:marTop w:val="0"/>
                      <w:marBottom w:val="0"/>
                      <w:divBdr>
                        <w:top w:val="none" w:sz="0" w:space="0" w:color="auto"/>
                        <w:left w:val="none" w:sz="0" w:space="0" w:color="auto"/>
                        <w:bottom w:val="none" w:sz="0" w:space="0" w:color="auto"/>
                        <w:right w:val="none" w:sz="0" w:space="0" w:color="auto"/>
                      </w:divBdr>
                      <w:divsChild>
                        <w:div w:id="2006127469">
                          <w:marLeft w:val="0"/>
                          <w:marRight w:val="0"/>
                          <w:marTop w:val="0"/>
                          <w:marBottom w:val="0"/>
                          <w:divBdr>
                            <w:top w:val="none" w:sz="0" w:space="0" w:color="auto"/>
                            <w:left w:val="none" w:sz="0" w:space="0" w:color="auto"/>
                            <w:bottom w:val="none" w:sz="0" w:space="0" w:color="auto"/>
                            <w:right w:val="none" w:sz="0" w:space="0" w:color="auto"/>
                          </w:divBdr>
                          <w:divsChild>
                            <w:div w:id="1210914619">
                              <w:marLeft w:val="0"/>
                              <w:marRight w:val="0"/>
                              <w:marTop w:val="0"/>
                              <w:marBottom w:val="0"/>
                              <w:divBdr>
                                <w:top w:val="none" w:sz="0" w:space="0" w:color="auto"/>
                                <w:left w:val="none" w:sz="0" w:space="0" w:color="auto"/>
                                <w:bottom w:val="none" w:sz="0" w:space="0" w:color="auto"/>
                                <w:right w:val="none" w:sz="0" w:space="0" w:color="auto"/>
                              </w:divBdr>
                            </w:div>
                            <w:div w:id="211289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eta.sam.gov/" TargetMode="External"/><Relationship Id="rId18" Type="http://schemas.openxmlformats.org/officeDocument/2006/relationships/hyperlink" Target="https://beta.sam.gov/" TargetMode="External"/><Relationship Id="rId26" Type="http://schemas.openxmlformats.org/officeDocument/2006/relationships/hyperlink" Target="https://www.cpars.gov/pdfs/CPARS_User_Manual.pdf" TargetMode="External"/><Relationship Id="rId39" Type="http://schemas.openxmlformats.org/officeDocument/2006/relationships/hyperlink" Target="https://www.cpars.gov/refmatl.htm" TargetMode="External"/><Relationship Id="rId21" Type="http://schemas.openxmlformats.org/officeDocument/2006/relationships/hyperlink" Target="https://www.gsa.gov/node/86696?utm_source=OGP&amp;utm_medium=print-radio&amp;utm_term=perdiem&amp;utm_campaign=shortcuts" TargetMode="External"/><Relationship Id="rId34" Type="http://schemas.openxmlformats.org/officeDocument/2006/relationships/image" Target="media/image2.jpg"/><Relationship Id="rId42" Type="http://schemas.openxmlformats.org/officeDocument/2006/relationships/hyperlink" Target="https://www.cpars.gov/" TargetMode="External"/><Relationship Id="rId47" Type="http://schemas.openxmlformats.org/officeDocument/2006/relationships/hyperlink" Target="http://ltasc.od.nih.gov/" TargetMode="External"/><Relationship Id="rId50" Type="http://schemas.openxmlformats.org/officeDocument/2006/relationships/hyperlink" Target="http://nihcats.olao.od.nih.gov/" TargetMode="External"/><Relationship Id="rId55" Type="http://schemas.openxmlformats.org/officeDocument/2006/relationships/image" Target="media/image7.jpg"/><Relationship Id="rId63" Type="http://schemas.openxmlformats.org/officeDocument/2006/relationships/hyperlink" Target="https://hr.nih.gov/training-center/course-catalog/acquisitions-management" TargetMode="External"/><Relationship Id="rId68" Type="http://schemas.openxmlformats.org/officeDocument/2006/relationships/hyperlink" Target="mailto:BPAProgramBranch@od.nih.gov" TargetMode="External"/><Relationship Id="rId76" Type="http://schemas.openxmlformats.org/officeDocument/2006/relationships/hyperlink" Target="mailto:OALMnewsletter@mail.nih.gov" TargetMode="External"/><Relationship Id="rId7" Type="http://schemas.openxmlformats.org/officeDocument/2006/relationships/hyperlink" Target="https://www.fbo.gov/" TargetMode="External"/><Relationship Id="rId71" Type="http://schemas.openxmlformats.org/officeDocument/2006/relationships/hyperlink" Target="mailto:NicholaM@od.nih.gov" TargetMode="External"/><Relationship Id="rId2" Type="http://schemas.openxmlformats.org/officeDocument/2006/relationships/styles" Target="styles.xml"/><Relationship Id="rId16" Type="http://schemas.openxmlformats.org/officeDocument/2006/relationships/hyperlink" Target="https://www.fbo.gov/" TargetMode="External"/><Relationship Id="rId29" Type="http://schemas.openxmlformats.org/officeDocument/2006/relationships/hyperlink" Target="https://www.cpars.gov/webtrain_auto.htm" TargetMode="External"/><Relationship Id="rId11" Type="http://schemas.openxmlformats.org/officeDocument/2006/relationships/hyperlink" Target="https://beta.sam.gov/" TargetMode="External"/><Relationship Id="rId24" Type="http://schemas.openxmlformats.org/officeDocument/2006/relationships/hyperlink" Target="http://www.gsa.gov/perdiem" TargetMode="External"/><Relationship Id="rId32" Type="http://schemas.openxmlformats.org/officeDocument/2006/relationships/hyperlink" Target="mailto:cpars@mail.nih.gov" TargetMode="External"/><Relationship Id="rId37" Type="http://schemas.openxmlformats.org/officeDocument/2006/relationships/hyperlink" Target="http://www.cpars.gov" TargetMode="External"/><Relationship Id="rId40" Type="http://schemas.openxmlformats.org/officeDocument/2006/relationships/hyperlink" Target="mailto:webptsmh@navy.mil" TargetMode="External"/><Relationship Id="rId45" Type="http://schemas.openxmlformats.org/officeDocument/2006/relationships/hyperlink" Target="https://ltasc.od.nih.gov/" TargetMode="External"/><Relationship Id="rId53" Type="http://schemas.openxmlformats.org/officeDocument/2006/relationships/hyperlink" Target="http://pics.olao.od.nih.gov/" TargetMode="External"/><Relationship Id="rId58" Type="http://schemas.openxmlformats.org/officeDocument/2006/relationships/image" Target="media/image8.png"/><Relationship Id="rId66" Type="http://schemas.openxmlformats.org/officeDocument/2006/relationships/hyperlink" Target="http://training.cit.nih.gov/list.aspx?catId=14" TargetMode="External"/><Relationship Id="rId74" Type="http://schemas.openxmlformats.org/officeDocument/2006/relationships/hyperlink" Target="mailto:,%20" TargetMode="External"/><Relationship Id="rId5" Type="http://schemas.openxmlformats.org/officeDocument/2006/relationships/hyperlink" Target="http://www.biopreferred.gov" TargetMode="External"/><Relationship Id="rId15" Type="http://schemas.openxmlformats.org/officeDocument/2006/relationships/hyperlink" Target="https://www.fbo.gov/" TargetMode="External"/><Relationship Id="rId23" Type="http://schemas.openxmlformats.org/officeDocument/2006/relationships/hyperlink" Target="http://www.gsa.gov/portal/ext/public/site/FTR/file/Chapter301p011.html/category/21868/" TargetMode="External"/><Relationship Id="rId28" Type="http://schemas.openxmlformats.org/officeDocument/2006/relationships/hyperlink" Target="https://oalmsps.od.nih.gov/DDO/CDMP/Lists/NIH%20Focal%20Points/NIH%20Focal%20Points.aspx" TargetMode="External"/><Relationship Id="rId36" Type="http://schemas.openxmlformats.org/officeDocument/2006/relationships/image" Target="media/image3.png"/><Relationship Id="rId49" Type="http://schemas.openxmlformats.org/officeDocument/2006/relationships/image" Target="media/image5.png"/><Relationship Id="rId57" Type="http://schemas.openxmlformats.org/officeDocument/2006/relationships/hyperlink" Target="https://nihsccatalog.od.nih.gov" TargetMode="External"/><Relationship Id="rId61" Type="http://schemas.openxmlformats.org/officeDocument/2006/relationships/hyperlink" Target="mailto:sharmaine.fagan-kerr@nih.gov" TargetMode="External"/><Relationship Id="rId10" Type="http://schemas.openxmlformats.org/officeDocument/2006/relationships/hyperlink" Target="https://www.fbo.gov/" TargetMode="External"/><Relationship Id="rId19" Type="http://schemas.openxmlformats.org/officeDocument/2006/relationships/hyperlink" Target="https://beta.sam.gov/" TargetMode="External"/><Relationship Id="rId31" Type="http://schemas.openxmlformats.org/officeDocument/2006/relationships/hyperlink" Target="https://www.cpars.gov/webtrain.htm" TargetMode="External"/><Relationship Id="rId44" Type="http://schemas.openxmlformats.org/officeDocument/2006/relationships/hyperlink" Target="https://oalmsps.od.nih.gov/DDO/CDMP/CPARS/SitePages/Home.aspx" TargetMode="External"/><Relationship Id="rId52" Type="http://schemas.openxmlformats.org/officeDocument/2006/relationships/image" Target="media/image6.png"/><Relationship Id="rId60" Type="http://schemas.openxmlformats.org/officeDocument/2006/relationships/hyperlink" Target="https://nihsc1.od.nih.gov/" TargetMode="External"/><Relationship Id="rId65" Type="http://schemas.openxmlformats.org/officeDocument/2006/relationships/hyperlink" Target="https://learn.dau.mil/Atlas2/faces/page/atlasSE/login/Login.seam" TargetMode="External"/><Relationship Id="rId73" Type="http://schemas.openxmlformats.org/officeDocument/2006/relationships/hyperlink" Target="mailto:Jesse.Lee2@nih.gov"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bo.gov/" TargetMode="External"/><Relationship Id="rId14" Type="http://schemas.openxmlformats.org/officeDocument/2006/relationships/hyperlink" Target="https://beta.sam.gov/" TargetMode="External"/><Relationship Id="rId22" Type="http://schemas.openxmlformats.org/officeDocument/2006/relationships/hyperlink" Target="https://apps.usfa.fema.gov/hotel/" TargetMode="External"/><Relationship Id="rId27" Type="http://schemas.openxmlformats.org/officeDocument/2006/relationships/hyperlink" Target="http://farsite.hill.af.mil/reghtml/regs/far2afmcfars/fardfars/far/42.htm" TargetMode="External"/><Relationship Id="rId30" Type="http://schemas.openxmlformats.org/officeDocument/2006/relationships/hyperlink" Target="https://www.cpars.gov/webtrain_all.htm" TargetMode="External"/><Relationship Id="rId35" Type="http://schemas.openxmlformats.org/officeDocument/2006/relationships/hyperlink" Target="https://www.cpars.gov/pdfs/CPARS_User_Manual.pdf" TargetMode="External"/><Relationship Id="rId43" Type="http://schemas.openxmlformats.org/officeDocument/2006/relationships/hyperlink" Target="mailto:cpars@mail.nih.gov" TargetMode="External"/><Relationship Id="rId48" Type="http://schemas.openxmlformats.org/officeDocument/2006/relationships/hyperlink" Target="http://nihcats.olao.od.nih.gov/" TargetMode="External"/><Relationship Id="rId56" Type="http://schemas.openxmlformats.org/officeDocument/2006/relationships/hyperlink" Target="http://nihbpss.olao.od.nih.gov/" TargetMode="External"/><Relationship Id="rId64" Type="http://schemas.openxmlformats.org/officeDocument/2006/relationships/hyperlink" Target="http://www.fai.gov/" TargetMode="External"/><Relationship Id="rId69" Type="http://schemas.openxmlformats.org/officeDocument/2006/relationships/hyperlink" Target="http://oamp.od.nih.gov/dsaps/bpa-program" TargetMode="External"/><Relationship Id="rId77" Type="http://schemas.openxmlformats.org/officeDocument/2006/relationships/fontTable" Target="fontTable.xml"/><Relationship Id="rId8" Type="http://schemas.openxmlformats.org/officeDocument/2006/relationships/hyperlink" Target="https://beta.sam.gov/" TargetMode="External"/><Relationship Id="rId51" Type="http://schemas.openxmlformats.org/officeDocument/2006/relationships/hyperlink" Target="http://pics.olao.od.nih.gov/" TargetMode="External"/><Relationship Id="rId72" Type="http://schemas.openxmlformats.org/officeDocument/2006/relationships/hyperlink" Target="mailto:McDermottMl@od.nih.gov" TargetMode="External"/><Relationship Id="rId3" Type="http://schemas.openxmlformats.org/officeDocument/2006/relationships/settings" Target="settings.xml"/><Relationship Id="rId12" Type="http://schemas.openxmlformats.org/officeDocument/2006/relationships/hyperlink" Target="https://beta.sam.gov/" TargetMode="External"/><Relationship Id="rId17" Type="http://schemas.openxmlformats.org/officeDocument/2006/relationships/image" Target="media/image1.png"/><Relationship Id="rId25" Type="http://schemas.openxmlformats.org/officeDocument/2006/relationships/hyperlink" Target="https://www.cpars.gov/pdfs/CPARS-Guidance.pdf" TargetMode="External"/><Relationship Id="rId33" Type="http://schemas.openxmlformats.org/officeDocument/2006/relationships/hyperlink" Target="https://www.cpars.gov/userforms.htm" TargetMode="External"/><Relationship Id="rId38" Type="http://schemas.openxmlformats.org/officeDocument/2006/relationships/hyperlink" Target="https://www.cpars.gov/userforms.htm" TargetMode="External"/><Relationship Id="rId46" Type="http://schemas.openxmlformats.org/officeDocument/2006/relationships/image" Target="media/image4.png"/><Relationship Id="rId59" Type="http://schemas.openxmlformats.org/officeDocument/2006/relationships/hyperlink" Target="https://nihsccatalog.od.nih.gov/" TargetMode="External"/><Relationship Id="rId67" Type="http://schemas.openxmlformats.org/officeDocument/2006/relationships/hyperlink" Target="http://oalm.od.nih.gov/GreenPurchasingForWebsite" TargetMode="External"/><Relationship Id="rId20" Type="http://schemas.openxmlformats.org/officeDocument/2006/relationships/hyperlink" Target="https://beta.sam.gov/" TargetMode="External"/><Relationship Id="rId41" Type="http://schemas.openxmlformats.org/officeDocument/2006/relationships/hyperlink" Target="https://www.cpars.gov/webtrain.htm" TargetMode="External"/><Relationship Id="rId54" Type="http://schemas.openxmlformats.org/officeDocument/2006/relationships/hyperlink" Target="http://nihbpss.olao.od.nih.gov/" TargetMode="External"/><Relationship Id="rId62" Type="http://schemas.openxmlformats.org/officeDocument/2006/relationships/hyperlink" Target="https://hr.nih.gov/training-center/course-catalog/acquisitions-management" TargetMode="External"/><Relationship Id="rId70" Type="http://schemas.openxmlformats.org/officeDocument/2006/relationships/hyperlink" Target="mailto:BPAProgramBranch@od.nih.gov" TargetMode="External"/><Relationship Id="rId75" Type="http://schemas.openxmlformats.org/officeDocument/2006/relationships/hyperlink" Target="mailto:SolomonBJ@od.nih.gov" TargetMode="External"/><Relationship Id="rId1" Type="http://schemas.openxmlformats.org/officeDocument/2006/relationships/numbering" Target="numbering.xml"/><Relationship Id="rId6" Type="http://schemas.openxmlformats.org/officeDocument/2006/relationships/hyperlink" Target="http://www.epa.gov/smm/comprehensiveprocurement-guideline-cpg-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4702</Words>
  <Characters>26804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Barry (NIH/OD) [E]</dc:creator>
  <cp:keywords/>
  <dc:description/>
  <cp:lastModifiedBy>Solomon, Barry (NIH/OD) [E]</cp:lastModifiedBy>
  <cp:revision>2</cp:revision>
  <dcterms:created xsi:type="dcterms:W3CDTF">2019-08-20T15:29:00Z</dcterms:created>
  <dcterms:modified xsi:type="dcterms:W3CDTF">2019-08-20T15:29:00Z</dcterms:modified>
</cp:coreProperties>
</file>