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7C61" w:rsidRDefault="00637C61" w:rsidP="00327A2B">
      <w:pPr>
        <w:pStyle w:val="Title"/>
      </w:pPr>
      <w:r w:rsidRPr="00327A2B">
        <w:t>Office of Acquisition and Logistics Management (OALM) Newsletter 2018 September/October</w:t>
      </w:r>
    </w:p>
    <w:p w:rsidR="00963ED8" w:rsidRDefault="00963ED8" w:rsidP="00963ED8"/>
    <w:p w:rsidR="00963ED8" w:rsidRPr="00963ED8" w:rsidRDefault="00963ED8" w:rsidP="006C70FE">
      <w:pPr>
        <w:pStyle w:val="Heading1"/>
      </w:pPr>
      <w:r>
        <w:t>HAPPY NEW FISCAL YEAR!</w:t>
      </w:r>
    </w:p>
    <w:p w:rsidR="000D5D39" w:rsidRPr="00B95576" w:rsidRDefault="000D5D39" w:rsidP="00327A2B">
      <w:pPr>
        <w:pStyle w:val="Heading1"/>
      </w:pPr>
      <w:r w:rsidRPr="00B95576">
        <w:t xml:space="preserve">Category Management and Buying from GSA Federal Supply Schedules and </w:t>
      </w:r>
      <w:r>
        <w:t xml:space="preserve">Other </w:t>
      </w:r>
      <w:r w:rsidRPr="00B95576">
        <w:t>Pre-Negotiated Instruments</w:t>
      </w:r>
    </w:p>
    <w:p w:rsidR="000D5D39" w:rsidRPr="00B95576" w:rsidRDefault="000D5D39" w:rsidP="00327A2B">
      <w:pPr>
        <w:spacing w:line="240" w:lineRule="auto"/>
      </w:pPr>
      <w:r w:rsidRPr="00B95576">
        <w:t>Category management is an approach the Federal Government is applying to buy smarter and more like a single enterprise. Category management enables the government to eliminate redundancies, increase efficiency, and deliver more value and savings from the government’s acquisition programs. Category Management is the key initiative used to better leverage the vast buying power of the federal government and reduce costly contract duplication.</w:t>
      </w:r>
      <w:bookmarkStart w:id="0" w:name="_GoBack"/>
      <w:bookmarkEnd w:id="0"/>
    </w:p>
    <w:p w:rsidR="000D5D39" w:rsidRPr="00B95576" w:rsidRDefault="000D5D39" w:rsidP="00327A2B">
      <w:pPr>
        <w:spacing w:line="240" w:lineRule="auto"/>
      </w:pPr>
      <w:r w:rsidRPr="00B95576">
        <w:t>To that end, OMB asked agencies to meet two modest targets by the end of FY 2018: increase the FY 2016 baseline Spend Under Management by 20% and increase spending through Best-in-Class contracts to no less than 35% of all addressable BIC spending.</w:t>
      </w:r>
    </w:p>
    <w:p w:rsidR="000D5D39" w:rsidRDefault="000D5D39" w:rsidP="00327A2B">
      <w:pPr>
        <w:spacing w:line="240" w:lineRule="auto"/>
      </w:pPr>
      <w:r w:rsidRPr="00B95576">
        <w:t>The Acquisition Gateway is an online platform that offers expert advice, resources, data, and decision-support tools to help federal acquisition professionals through each step of the acquisition life cycle, leading to successful procurement outcomes. See how the Gateway can help you make the best procurement decision to help reach your targets for SUM and BIC.</w:t>
      </w:r>
    </w:p>
    <w:p w:rsidR="000D5D39" w:rsidRPr="00B95576" w:rsidRDefault="000D5D39" w:rsidP="00327A2B">
      <w:pPr>
        <w:spacing w:line="240" w:lineRule="auto"/>
      </w:pPr>
      <w:r>
        <w:t xml:space="preserve">There are many resources through which to learn more about these important subjects including NIH archived videocasts on </w:t>
      </w:r>
      <w:r w:rsidRPr="009D4F9E">
        <w:t xml:space="preserve">Category Management </w:t>
      </w:r>
      <w:r>
        <w:t>presented by</w:t>
      </w:r>
      <w:r w:rsidRPr="009D4F9E">
        <w:t xml:space="preserve"> Rachel </w:t>
      </w:r>
      <w:proofErr w:type="spellStart"/>
      <w:r w:rsidRPr="009D4F9E">
        <w:t>Gillerlain</w:t>
      </w:r>
      <w:proofErr w:type="spellEnd"/>
      <w:r w:rsidRPr="009D4F9E">
        <w:t>, Community Manager, Government-wide Category Management PMO</w:t>
      </w:r>
      <w:r>
        <w:t xml:space="preserve"> (Chapter No. 2 at the below link) </w:t>
      </w:r>
      <w:r w:rsidRPr="00B95576">
        <w:t xml:space="preserve">and </w:t>
      </w:r>
      <w:r w:rsidRPr="009D4F9E">
        <w:t>Required and Priority Sources and Pre-Negotiated Instruments</w:t>
      </w:r>
      <w:r>
        <w:t xml:space="preserve"> presented by </w:t>
      </w:r>
      <w:r w:rsidRPr="009D4F9E">
        <w:t>Milton Nicholas, Management Analyst,</w:t>
      </w:r>
      <w:r>
        <w:t xml:space="preserve"> with OALM (Chapter No. 7 at the below link).</w:t>
      </w:r>
      <w:r w:rsidRPr="00B95576">
        <w:t xml:space="preserve"> </w:t>
      </w:r>
    </w:p>
    <w:p w:rsidR="000D5D39" w:rsidRPr="00FD71B0" w:rsidRDefault="009B4B35" w:rsidP="00327A2B">
      <w:pPr>
        <w:spacing w:line="240" w:lineRule="auto"/>
        <w:rPr>
          <w:rStyle w:val="Hyperlink"/>
          <w:color w:val="auto"/>
          <w:u w:val="none"/>
        </w:rPr>
      </w:pPr>
      <w:hyperlink r:id="rId8" w:history="1">
        <w:r w:rsidR="000D5D39" w:rsidRPr="00FD71B0">
          <w:rPr>
            <w:rStyle w:val="Hyperlink"/>
          </w:rPr>
          <w:t>Category Management and Buying from GSA Federal Supply Schedules and Pre-Negotiated Instruments Videocast</w:t>
        </w:r>
      </w:hyperlink>
    </w:p>
    <w:p w:rsidR="00B95576" w:rsidRDefault="00B95576" w:rsidP="00327A2B">
      <w:pPr>
        <w:pStyle w:val="Heading1"/>
      </w:pPr>
      <w:r w:rsidRPr="00B95576">
        <w:t>HHS Reverse Industry Day</w:t>
      </w:r>
    </w:p>
    <w:p w:rsidR="00B95576" w:rsidRPr="00B95576" w:rsidRDefault="00B95576" w:rsidP="00327A2B">
      <w:pPr>
        <w:spacing w:line="240" w:lineRule="auto"/>
      </w:pPr>
      <w:r w:rsidRPr="00B95576">
        <w:t xml:space="preserve">On October 9, 2018 the Department of Health and Human Services (HHS), National Institutes of Health (NIH) and Professional Services Council (PSC) will host </w:t>
      </w:r>
      <w:r w:rsidR="00670D93">
        <w:t>the</w:t>
      </w:r>
      <w:r w:rsidRPr="00B95576">
        <w:t xml:space="preserve"> HHS Reverse Industry Day. It will be held at the Natcher Conference Center on the NIH Main Campus from 9:15 a.m. to 12:15 p.m. </w:t>
      </w:r>
    </w:p>
    <w:p w:rsidR="00B95576" w:rsidRPr="00B95576" w:rsidRDefault="00B95576" w:rsidP="00327A2B">
      <w:pPr>
        <w:spacing w:line="240" w:lineRule="auto"/>
      </w:pPr>
      <w:r w:rsidRPr="00B95576">
        <w:t>This event provides an opportunity for companies to share their perspectives on the challenges they encounter in trying to conduct business with HHS acquisitions Operating Divisions (</w:t>
      </w:r>
      <w:proofErr w:type="spellStart"/>
      <w:r w:rsidRPr="00B95576">
        <w:t>OpDivs</w:t>
      </w:r>
      <w:proofErr w:type="spellEnd"/>
      <w:r w:rsidRPr="00B95576">
        <w:t>). Acquisition and programmatic officials will learn how to strengthen industry engagement in support of acquisition planning and execution of pre-award activities. This incredible learning opportunity will include three panel sessions, each followed by audience Q&amp;As. The panel sessions are entitled:</w:t>
      </w:r>
    </w:p>
    <w:p w:rsidR="00B95576" w:rsidRPr="00B95576" w:rsidRDefault="00B95576" w:rsidP="00327A2B">
      <w:pPr>
        <w:spacing w:line="240" w:lineRule="auto"/>
        <w:ind w:firstLine="720"/>
      </w:pPr>
      <w:r w:rsidRPr="00B95576">
        <w:rPr>
          <w:bCs/>
          <w:iCs/>
        </w:rPr>
        <w:t>Doing Business in the Federal Marketplace &amp; the Acquisition Lifecycle.</w:t>
      </w:r>
    </w:p>
    <w:p w:rsidR="00B95576" w:rsidRPr="00B95576" w:rsidRDefault="00B95576" w:rsidP="00327A2B">
      <w:pPr>
        <w:spacing w:line="240" w:lineRule="auto"/>
        <w:ind w:firstLine="720"/>
      </w:pPr>
      <w:r w:rsidRPr="00B95576">
        <w:rPr>
          <w:bCs/>
          <w:iCs/>
        </w:rPr>
        <w:lastRenderedPageBreak/>
        <w:t>Strengthening Acquisition Planning through Productive Industry Engagement.</w:t>
      </w:r>
    </w:p>
    <w:p w:rsidR="00B95576" w:rsidRPr="00B95576" w:rsidRDefault="00B95576" w:rsidP="00327A2B">
      <w:pPr>
        <w:spacing w:line="240" w:lineRule="auto"/>
        <w:ind w:firstLine="720"/>
      </w:pPr>
      <w:r w:rsidRPr="00B95576">
        <w:rPr>
          <w:bCs/>
          <w:iCs/>
        </w:rPr>
        <w:t xml:space="preserve">The Value of a Quality Debriefing. </w:t>
      </w:r>
    </w:p>
    <w:p w:rsidR="00B95576" w:rsidRPr="00B95576" w:rsidRDefault="00B95576" w:rsidP="00327A2B">
      <w:pPr>
        <w:spacing w:line="240" w:lineRule="auto"/>
      </w:pPr>
      <w:r w:rsidRPr="00B95576">
        <w:t xml:space="preserve">Ms. Diane J. Frasier, NIH Head of Contracting Activity and Director of the Office of Acquisition and Logistics Management (OALM) will open the event. Andrea Brandon, Deputy Assistant Secretary, and José Arrieta, Associate Deputy Assistant Secretary, from the Office of Grants and Acquisition Policy and Accountability (OGAPA) will act as the keynote speakers.  </w:t>
      </w:r>
    </w:p>
    <w:p w:rsidR="00B95576" w:rsidRDefault="00B95576" w:rsidP="00327A2B">
      <w:pPr>
        <w:spacing w:line="240" w:lineRule="auto"/>
      </w:pPr>
      <w:r w:rsidRPr="00B95576">
        <w:t xml:space="preserve">Registration is open, and all staff are welcome to register using the following link </w:t>
      </w:r>
      <w:hyperlink r:id="rId9" w:history="1">
        <w:r w:rsidRPr="00ED2316">
          <w:rPr>
            <w:rStyle w:val="Hyperlink"/>
          </w:rPr>
          <w:t>https://www.surveymonkey.com/r/HHSReverseIndustry18</w:t>
        </w:r>
      </w:hyperlink>
      <w:r w:rsidRPr="00B95576">
        <w:t>. Registration will close once capacity is reached or by close of business on October 5, 2018.</w:t>
      </w:r>
      <w:r w:rsidR="0085183D">
        <w:t xml:space="preserve"> </w:t>
      </w:r>
    </w:p>
    <w:p w:rsidR="00600D2A" w:rsidRDefault="00600D2A" w:rsidP="00327A2B">
      <w:pPr>
        <w:pStyle w:val="Heading1"/>
      </w:pPr>
      <w:r>
        <w:t>Industry Advancements to Help Prevent Credit Card Fraud</w:t>
      </w:r>
    </w:p>
    <w:p w:rsidR="00600D2A" w:rsidRDefault="00600D2A" w:rsidP="00327A2B">
      <w:pPr>
        <w:spacing w:line="240" w:lineRule="auto"/>
      </w:pPr>
      <w:r>
        <w:t>The credit card industry is moving towards a way to balance credit card fraud protection while also maintaining a positive customer experience.  There are a lot of strategies to prevent credit card fraud; many of which are already being used in the market place today such as:  chip cards and mobile pay mechanisms (Apple Pay, Google Pay, etc.)  Unfortunately, as technology advances</w:t>
      </w:r>
      <w:r w:rsidR="009D4F9E">
        <w:t>,</w:t>
      </w:r>
      <w:r>
        <w:t xml:space="preserve"> so do the capabilities of fraudsters.  </w:t>
      </w:r>
    </w:p>
    <w:p w:rsidR="00600D2A" w:rsidRDefault="00600D2A" w:rsidP="00327A2B">
      <w:pPr>
        <w:spacing w:line="240" w:lineRule="auto"/>
      </w:pPr>
      <w:r>
        <w:t xml:space="preserve">To keep ahead of the curve, bank industry partners such as Visa have been developing specialized authentication practices that will enable customers to make payments quickly and easily while also safeguarding themselves from fraud.  Such techniques include voice recognition, behavioral biometrics, and physical biometrics (facial recognition, iris recognition, vein recognition, etc.).  </w:t>
      </w:r>
    </w:p>
    <w:p w:rsidR="00600D2A" w:rsidRDefault="00600D2A" w:rsidP="00327A2B">
      <w:pPr>
        <w:spacing w:line="240" w:lineRule="auto"/>
      </w:pPr>
      <w:r>
        <w:t xml:space="preserve">Voice recognition may be self-explanatory, but the way biometrics </w:t>
      </w:r>
      <w:r w:rsidR="009D4F9E">
        <w:t xml:space="preserve">are </w:t>
      </w:r>
      <w:r>
        <w:t xml:space="preserve">being used today to protect consumers is changing rapidly. </w:t>
      </w:r>
    </w:p>
    <w:p w:rsidR="00600D2A" w:rsidRDefault="00600D2A" w:rsidP="00327A2B">
      <w:pPr>
        <w:spacing w:line="240" w:lineRule="auto"/>
      </w:pPr>
      <w:r>
        <w:t xml:space="preserve">The NIH Purchase Card Program staff recently attended the GSA </w:t>
      </w:r>
      <w:proofErr w:type="spellStart"/>
      <w:r>
        <w:t>SmartPay</w:t>
      </w:r>
      <w:proofErr w:type="spellEnd"/>
      <w:r>
        <w:t xml:space="preserve"> 3 Forum where Visa presented on the ways that they are working to combat credit card fraud.  Here are a few examples of how behavioral biometrics is being used today.  Behavioral Biometrics is the intricate analysis into user patterns, and this information can help prevent fraudsters from accessing your personal data. Technology today can analyze millions of attributes associated with a person attempting to make a purchase such as their location, the device they are using, IP address, transaction type, the time of day, etc. in as little as five seconds!  This is good news since there has been a huge shift in how we buy.  In 2015 70% of VISA transactions were made in person with a merchant.  In 2017 that number dropped to just 19%.  As consumers continue to go online for their shopping needs, these quick, secure, and easy to use fraud prevention techniques will be essential and in high demand.  </w:t>
      </w:r>
    </w:p>
    <w:p w:rsidR="00600D2A" w:rsidRDefault="00600D2A" w:rsidP="00327A2B">
      <w:pPr>
        <w:spacing w:line="240" w:lineRule="auto"/>
      </w:pPr>
      <w:r>
        <w:t xml:space="preserve">Physical biometrics is also advancing quickly from fingerprint identification to facial recognition to vein recognition; one day a username and password will be a thing of the past.  While these technologies have already been developed and </w:t>
      </w:r>
      <w:r w:rsidR="009D4F9E">
        <w:t xml:space="preserve">demonstrated </w:t>
      </w:r>
      <w:r>
        <w:t>at multiple events, the challenge now is getting buy-in from merchants and purchase</w:t>
      </w:r>
      <w:r w:rsidR="009D4F9E">
        <w:t xml:space="preserve"> card holders</w:t>
      </w:r>
      <w:r>
        <w:t>.  Considering that the US is the leader in global fraud trends which were up 63% in FY2017 with a 10% year over year growth rate, our buy-in should not be troublesome.  This rate is especially high when you compare the US to Europe and Canada who both have significantly less credit card fraud during the same period (15% and 5% respectively) with a negative year over year growth rate.  No doubt these stark differences have to do with Europe and Canada quickly adopting advancing technologies such as the chip cards and contactless payments long before the US did.  We will continue to keep you apprised of commercial trends and industry changes.</w:t>
      </w:r>
      <w:r w:rsidR="0085183D" w:rsidRPr="00B95576">
        <w:t xml:space="preserve"> </w:t>
      </w:r>
    </w:p>
    <w:p w:rsidR="00206095" w:rsidRPr="00D56082" w:rsidRDefault="009D4F9E" w:rsidP="00327A2B">
      <w:pPr>
        <w:spacing w:line="240" w:lineRule="auto"/>
      </w:pPr>
      <w:r>
        <w:t xml:space="preserve">Should you have any questions, please contact the NIH Purchase Card Program at </w:t>
      </w:r>
      <w:hyperlink r:id="rId10" w:history="1">
        <w:r w:rsidRPr="00B011F7">
          <w:rPr>
            <w:rStyle w:val="Hyperlink"/>
          </w:rPr>
          <w:t>Creditcard@OD.NIH.GOV</w:t>
        </w:r>
      </w:hyperlink>
      <w:r>
        <w:t xml:space="preserve">. </w:t>
      </w:r>
      <w:r w:rsidR="00206095">
        <w:br w:type="page"/>
      </w:r>
    </w:p>
    <w:p w:rsidR="00B95576" w:rsidRPr="00B95576" w:rsidRDefault="00B95576" w:rsidP="00327A2B">
      <w:pPr>
        <w:pStyle w:val="Heading1"/>
      </w:pPr>
      <w:r w:rsidRPr="00B95576">
        <w:lastRenderedPageBreak/>
        <w:t>How do Section 508 requirements apply to Micro-Purchases?</w:t>
      </w:r>
    </w:p>
    <w:p w:rsidR="00B95576" w:rsidRPr="00B95576" w:rsidRDefault="00B95576" w:rsidP="00327A2B">
      <w:pPr>
        <w:spacing w:line="240" w:lineRule="auto"/>
      </w:pPr>
      <w:r w:rsidRPr="00B95576">
        <w:t xml:space="preserve">Section 508 applies to the purchase of all Information and Communication Technology (ICT) products and services, including micro-purchases.  Note </w:t>
      </w:r>
      <w:hyperlink r:id="rId11" w:history="1">
        <w:r w:rsidRPr="00B95576">
          <w:rPr>
            <w:rStyle w:val="Hyperlink"/>
          </w:rPr>
          <w:t>FAR 39.2</w:t>
        </w:r>
      </w:hyperlink>
      <w:r>
        <w:t xml:space="preserve"> </w:t>
      </w:r>
      <w:r w:rsidRPr="00B95576">
        <w:t xml:space="preserve">refers </w:t>
      </w:r>
      <w:r w:rsidR="003D12E9">
        <w:t>to</w:t>
      </w:r>
      <w:r w:rsidRPr="00B95576">
        <w:t xml:space="preserve"> Electronic and Information Technology (EIT)</w:t>
      </w:r>
      <w:r w:rsidR="003D12E9">
        <w:t xml:space="preserve"> vice ICT</w:t>
      </w:r>
      <w:r w:rsidRPr="00B95576">
        <w:t xml:space="preserve">.  </w:t>
      </w:r>
      <w:r w:rsidR="003D12E9">
        <w:t xml:space="preserve">At this time, both terms and used interchangeably. </w:t>
      </w:r>
      <w:r w:rsidRPr="00B95576">
        <w:t xml:space="preserve">Common ICT products are software, hardware, </w:t>
      </w:r>
      <w:r w:rsidR="003D12E9">
        <w:t xml:space="preserve">all </w:t>
      </w:r>
      <w:r w:rsidRPr="00B95576">
        <w:t>electronic</w:t>
      </w:r>
      <w:r w:rsidR="003D12E9">
        <w:t>/digital</w:t>
      </w:r>
      <w:r w:rsidRPr="00B95576">
        <w:t xml:space="preserve"> content, and support documentation and services.  </w:t>
      </w:r>
    </w:p>
    <w:p w:rsidR="00206095" w:rsidRDefault="009B4B35" w:rsidP="00327A2B">
      <w:pPr>
        <w:spacing w:line="240" w:lineRule="auto"/>
      </w:pPr>
      <w:hyperlink r:id="rId12" w:history="1">
        <w:r w:rsidR="00AA0828" w:rsidRPr="00AA0828">
          <w:rPr>
            <w:rStyle w:val="Hyperlink"/>
          </w:rPr>
          <w:t>http://www.section508.gov/</w:t>
        </w:r>
      </w:hyperlink>
      <w:r w:rsidR="00B95576" w:rsidRPr="00B95576">
        <w:t xml:space="preserve"> outlines a </w:t>
      </w:r>
      <w:r w:rsidR="00A77C7B" w:rsidRPr="00B95576">
        <w:t>6-step</w:t>
      </w:r>
      <w:r w:rsidR="00B95576" w:rsidRPr="00B95576">
        <w:t xml:space="preserve"> checklist to assist in the process for </w:t>
      </w:r>
      <w:r w:rsidR="00A77C7B">
        <w:t>S</w:t>
      </w:r>
      <w:r w:rsidR="00B95576" w:rsidRPr="00B95576">
        <w:t>ection 508 micro-purchase requirements</w:t>
      </w:r>
    </w:p>
    <w:p w:rsidR="00B95576" w:rsidRPr="00B95576" w:rsidRDefault="00B95576" w:rsidP="00327A2B">
      <w:pPr>
        <w:spacing w:line="240" w:lineRule="auto"/>
        <w:ind w:firstLine="720"/>
      </w:pPr>
      <w:r w:rsidRPr="00B95576">
        <w:t>Determine if your requirement is ICT</w:t>
      </w:r>
    </w:p>
    <w:p w:rsidR="00B95576" w:rsidRPr="00B95576" w:rsidRDefault="00B95576" w:rsidP="00327A2B">
      <w:pPr>
        <w:spacing w:line="240" w:lineRule="auto"/>
        <w:ind w:firstLine="720"/>
      </w:pPr>
      <w:r w:rsidRPr="00B95576">
        <w:t xml:space="preserve">Determine which </w:t>
      </w:r>
      <w:r w:rsidR="00A77C7B">
        <w:t>S</w:t>
      </w:r>
      <w:r w:rsidRPr="00B95576">
        <w:t>ection 508 standards apply</w:t>
      </w:r>
    </w:p>
    <w:p w:rsidR="00B95576" w:rsidRPr="00B95576" w:rsidRDefault="00B95576" w:rsidP="00327A2B">
      <w:pPr>
        <w:spacing w:line="240" w:lineRule="auto"/>
        <w:ind w:firstLine="720"/>
      </w:pPr>
      <w:r w:rsidRPr="00B95576">
        <w:t>Perform market research</w:t>
      </w:r>
    </w:p>
    <w:p w:rsidR="00B95576" w:rsidRPr="00B95576" w:rsidRDefault="00B95576" w:rsidP="00327A2B">
      <w:pPr>
        <w:spacing w:line="240" w:lineRule="auto"/>
        <w:ind w:firstLine="720"/>
      </w:pPr>
      <w:r w:rsidRPr="00B95576">
        <w:t>Complete documentation</w:t>
      </w:r>
    </w:p>
    <w:p w:rsidR="00B95576" w:rsidRPr="00B95576" w:rsidRDefault="00B95576" w:rsidP="00327A2B">
      <w:pPr>
        <w:spacing w:line="240" w:lineRule="auto"/>
        <w:ind w:firstLine="720"/>
      </w:pPr>
      <w:r w:rsidRPr="00B95576">
        <w:t>Follow agency-specific policies and procedures</w:t>
      </w:r>
    </w:p>
    <w:p w:rsidR="00B95576" w:rsidRPr="00B95576" w:rsidRDefault="00B95576" w:rsidP="00327A2B">
      <w:pPr>
        <w:spacing w:line="240" w:lineRule="auto"/>
        <w:ind w:firstLine="720"/>
      </w:pPr>
      <w:r w:rsidRPr="00B95576">
        <w:t>Purchase product of service</w:t>
      </w:r>
    </w:p>
    <w:p w:rsidR="00B95576" w:rsidRPr="00B95576" w:rsidRDefault="00B95576" w:rsidP="00327A2B">
      <w:pPr>
        <w:spacing w:line="240" w:lineRule="auto"/>
      </w:pPr>
      <w:r w:rsidRPr="00B95576">
        <w:t>For a quick, free, online training</w:t>
      </w:r>
      <w:r w:rsidR="003D12E9">
        <w:t xml:space="preserve"> opportunity </w:t>
      </w:r>
      <w:r w:rsidRPr="00B95576">
        <w:t xml:space="preserve">by GSA and </w:t>
      </w:r>
      <w:hyperlink r:id="rId13" w:history="1">
        <w:r w:rsidRPr="00AA0828">
          <w:rPr>
            <w:rStyle w:val="Hyperlink"/>
          </w:rPr>
          <w:t>Section508.gov</w:t>
        </w:r>
      </w:hyperlink>
      <w:r w:rsidRPr="00AA0828">
        <w:t xml:space="preserve"> </w:t>
      </w:r>
      <w:r w:rsidR="003D12E9">
        <w:t xml:space="preserve">take a moment to review </w:t>
      </w:r>
      <w:r w:rsidRPr="00B95576">
        <w:t xml:space="preserve">the </w:t>
      </w:r>
      <w:hyperlink r:id="rId14" w:history="1">
        <w:r w:rsidRPr="00AA0828">
          <w:rPr>
            <w:rStyle w:val="Hyperlink"/>
          </w:rPr>
          <w:t>Micro-purchases and Section 508 Requirements</w:t>
        </w:r>
      </w:hyperlink>
      <w:r w:rsidRPr="00B95576">
        <w:t xml:space="preserve"> training.</w:t>
      </w:r>
    </w:p>
    <w:p w:rsidR="00B6323C" w:rsidRDefault="00B6323C" w:rsidP="00327A2B">
      <w:pPr>
        <w:pStyle w:val="Heading1"/>
      </w:pPr>
      <w:r w:rsidRPr="004D223E">
        <w:t>Effective Receivin</w:t>
      </w:r>
      <w:r>
        <w:t>g</w:t>
      </w:r>
    </w:p>
    <w:p w:rsidR="00670D93" w:rsidRDefault="00B6323C" w:rsidP="00327A2B">
      <w:pPr>
        <w:spacing w:line="240" w:lineRule="auto"/>
      </w:pPr>
      <w:r w:rsidRPr="00ED7ABF">
        <w:t xml:space="preserve">Effective receiving involves receipt, </w:t>
      </w:r>
      <w:r>
        <w:t>inspection, and acceptance</w:t>
      </w:r>
      <w:r w:rsidRPr="00ED7ABF">
        <w:t>.  Timely and accurate receiving</w:t>
      </w:r>
      <w:r w:rsidR="003D12E9">
        <w:t xml:space="preserve"> reduces payment problems, helps to </w:t>
      </w:r>
      <w:r w:rsidRPr="00ED7ABF">
        <w:t>avoid improper payments,</w:t>
      </w:r>
      <w:r w:rsidR="003D12E9">
        <w:t xml:space="preserve"> avoids or lowers</w:t>
      </w:r>
      <w:r w:rsidRPr="00ED7ABF">
        <w:t xml:space="preserve"> interest payments,</w:t>
      </w:r>
      <w:r>
        <w:t xml:space="preserve"> and prevent</w:t>
      </w:r>
      <w:r w:rsidRPr="00ED7ABF">
        <w:t xml:space="preserve"> </w:t>
      </w:r>
      <w:r w:rsidR="003D12E9">
        <w:t>problems encountered with c</w:t>
      </w:r>
      <w:r w:rsidR="003D12E9" w:rsidRPr="003D12E9">
        <w:t xml:space="preserve">anceling </w:t>
      </w:r>
      <w:r w:rsidR="003D12E9">
        <w:t>y</w:t>
      </w:r>
      <w:r w:rsidR="003D12E9" w:rsidRPr="003D12E9">
        <w:t xml:space="preserve">ear </w:t>
      </w:r>
      <w:r w:rsidR="003D12E9">
        <w:t>l</w:t>
      </w:r>
      <w:r w:rsidR="003D12E9" w:rsidRPr="003D12E9">
        <w:t>ines</w:t>
      </w:r>
      <w:r w:rsidR="003D12E9">
        <w:t xml:space="preserve"> exercises.</w:t>
      </w:r>
    </w:p>
    <w:p w:rsidR="00B6323C" w:rsidRDefault="00B6323C" w:rsidP="00327A2B">
      <w:pPr>
        <w:spacing w:line="240" w:lineRule="auto"/>
      </w:pPr>
      <w:r>
        <w:t xml:space="preserve">The receiving process </w:t>
      </w:r>
      <w:r w:rsidR="00F74A27">
        <w:t>encompasses</w:t>
      </w:r>
      <w:r>
        <w:t xml:space="preserve"> the following terms:</w:t>
      </w:r>
    </w:p>
    <w:p w:rsidR="00B6323C" w:rsidRDefault="00B6323C" w:rsidP="00327A2B">
      <w:pPr>
        <w:spacing w:line="240" w:lineRule="auto"/>
        <w:ind w:firstLine="720"/>
      </w:pPr>
      <w:r>
        <w:t>Receipt</w:t>
      </w:r>
      <w:r w:rsidR="00206095">
        <w:t xml:space="preserve"> </w:t>
      </w:r>
      <w:r>
        <w:t>- the physical receipt of the product or documentation</w:t>
      </w:r>
    </w:p>
    <w:p w:rsidR="00B6323C" w:rsidRDefault="00B6323C" w:rsidP="00327A2B">
      <w:pPr>
        <w:spacing w:line="240" w:lineRule="auto"/>
        <w:ind w:left="720"/>
      </w:pPr>
      <w:r>
        <w:t>Inspection</w:t>
      </w:r>
      <w:r w:rsidR="00206095">
        <w:t xml:space="preserve"> </w:t>
      </w:r>
      <w:r>
        <w:t>- examining and testing the supplies or services to determine whether they conform to contract requirements</w:t>
      </w:r>
    </w:p>
    <w:p w:rsidR="00B6323C" w:rsidRDefault="00B6323C" w:rsidP="00327A2B">
      <w:pPr>
        <w:spacing w:line="240" w:lineRule="auto"/>
        <w:ind w:left="720"/>
      </w:pPr>
      <w:r>
        <w:t>Acceptance</w:t>
      </w:r>
      <w:r w:rsidR="00206095">
        <w:t xml:space="preserve"> </w:t>
      </w:r>
      <w:r>
        <w:t>- the acknowledgement that the items delivered, or services performed conform to the terms and conditions of the contract</w:t>
      </w:r>
    </w:p>
    <w:p w:rsidR="00B6323C" w:rsidRPr="007F4ED2" w:rsidRDefault="00B6323C" w:rsidP="00327A2B">
      <w:pPr>
        <w:spacing w:line="240" w:lineRule="auto"/>
        <w:ind w:left="720"/>
      </w:pPr>
      <w:r>
        <w:t>Rejection</w:t>
      </w:r>
      <w:r w:rsidR="00206095">
        <w:t xml:space="preserve"> </w:t>
      </w:r>
      <w:r>
        <w:t>- inspection demonstrates that the deliverable is not in compliance with the terms of the contract</w:t>
      </w:r>
    </w:p>
    <w:p w:rsidR="00B6323C" w:rsidRDefault="00B6323C" w:rsidP="00327A2B">
      <w:pPr>
        <w:spacing w:line="240" w:lineRule="auto"/>
      </w:pPr>
      <w:r>
        <w:t>The receiving report is the written evidence</w:t>
      </w:r>
      <w:r w:rsidR="00F74A27">
        <w:t xml:space="preserve"> </w:t>
      </w:r>
      <w:r>
        <w:t xml:space="preserve">that </w:t>
      </w:r>
      <w:r w:rsidR="00F74A27">
        <w:t xml:space="preserve">proves </w:t>
      </w:r>
      <w:r>
        <w:t xml:space="preserve">Government </w:t>
      </w:r>
      <w:r w:rsidRPr="00062748">
        <w:rPr>
          <w:i/>
        </w:rPr>
        <w:t>acceptance</w:t>
      </w:r>
      <w:r>
        <w:t xml:space="preserve"> of supplies delivered, or services performed. </w:t>
      </w:r>
      <w:r w:rsidR="00F74A27">
        <w:t xml:space="preserve">As stated at FAR Subpart </w:t>
      </w:r>
      <w:hyperlink r:id="rId15" w:anchor="wp1032997" w:history="1">
        <w:r w:rsidR="00F74A27" w:rsidRPr="007E3C4E">
          <w:rPr>
            <w:rStyle w:val="Hyperlink"/>
          </w:rPr>
          <w:t>FAR 32.905(c)</w:t>
        </w:r>
      </w:hyperlink>
      <w:r w:rsidR="00F74A27">
        <w:t xml:space="preserve">  “</w:t>
      </w:r>
      <w:r w:rsidR="00F74A27" w:rsidRPr="00F74A27">
        <w:rPr>
          <w:lang w:val="en"/>
        </w:rPr>
        <w:t>All invoice payments</w:t>
      </w:r>
      <w:r w:rsidR="00F74A27">
        <w:rPr>
          <w:lang w:val="en"/>
        </w:rPr>
        <w:t>…</w:t>
      </w:r>
      <w:r w:rsidR="00F74A27" w:rsidRPr="00F74A27">
        <w:rPr>
          <w:lang w:val="en"/>
        </w:rPr>
        <w:t xml:space="preserve"> must be supported by a receiving report or other Government documentation authorizing payment</w:t>
      </w:r>
      <w:r w:rsidR="00F74A27">
        <w:rPr>
          <w:lang w:val="en"/>
        </w:rPr>
        <w:t xml:space="preserve">”.  </w:t>
      </w:r>
      <w:r>
        <w:t>At a minimum the receiving report must contain</w:t>
      </w:r>
      <w:r w:rsidR="00F74A27">
        <w:t xml:space="preserve"> the following </w:t>
      </w:r>
      <w:r>
        <w:t>elements</w:t>
      </w:r>
      <w:r w:rsidR="00F74A27">
        <w:t>:</w:t>
      </w:r>
    </w:p>
    <w:p w:rsidR="00B6323C" w:rsidRPr="0071610B" w:rsidRDefault="00B6323C" w:rsidP="00327A2B">
      <w:pPr>
        <w:spacing w:line="240" w:lineRule="auto"/>
        <w:ind w:firstLine="720"/>
      </w:pPr>
      <w:r w:rsidRPr="0071610B">
        <w:t>(1) Contract number or other authorization for supplies delivered or services performed.</w:t>
      </w:r>
    </w:p>
    <w:p w:rsidR="00B6323C" w:rsidRPr="0071610B" w:rsidRDefault="00B6323C" w:rsidP="00327A2B">
      <w:pPr>
        <w:spacing w:line="240" w:lineRule="auto"/>
      </w:pPr>
      <w:r w:rsidRPr="0071610B">
        <w:tab/>
        <w:t>(2) Description of supplies delivered, or services performed.</w:t>
      </w:r>
    </w:p>
    <w:p w:rsidR="00B6323C" w:rsidRPr="0071610B" w:rsidRDefault="00B6323C" w:rsidP="00327A2B">
      <w:pPr>
        <w:spacing w:line="240" w:lineRule="auto"/>
        <w:ind w:firstLine="720"/>
      </w:pPr>
      <w:r w:rsidRPr="0071610B">
        <w:t>(3) Quantities of supplies received and accepted, or services performed, if applicable.</w:t>
      </w:r>
    </w:p>
    <w:p w:rsidR="00B6323C" w:rsidRPr="0071610B" w:rsidRDefault="00B6323C" w:rsidP="00327A2B">
      <w:pPr>
        <w:spacing w:line="240" w:lineRule="auto"/>
      </w:pPr>
      <w:r w:rsidRPr="0071610B">
        <w:tab/>
        <w:t>(4) Date supplies delivered, or services performed.</w:t>
      </w:r>
    </w:p>
    <w:p w:rsidR="00B6323C" w:rsidRPr="0071610B" w:rsidRDefault="00B6323C" w:rsidP="00327A2B">
      <w:pPr>
        <w:spacing w:line="240" w:lineRule="auto"/>
      </w:pPr>
      <w:r w:rsidRPr="0071610B">
        <w:lastRenderedPageBreak/>
        <w:tab/>
        <w:t xml:space="preserve">(5) Date that the designated Government </w:t>
      </w:r>
      <w:r w:rsidR="00F74A27">
        <w:t>employee inspected and a</w:t>
      </w:r>
      <w:r w:rsidRPr="0071610B">
        <w:t>ccepted the supplies or services</w:t>
      </w:r>
    </w:p>
    <w:p w:rsidR="00B6323C" w:rsidRDefault="00B6323C" w:rsidP="00327A2B">
      <w:pPr>
        <w:spacing w:line="240" w:lineRule="auto"/>
        <w:ind w:left="720"/>
      </w:pPr>
      <w:r w:rsidRPr="0071610B">
        <w:t>(6) Signature, printed name, title, mailing address, and telephone number of the designated</w:t>
      </w:r>
      <w:r>
        <w:t xml:space="preserve"> </w:t>
      </w:r>
      <w:r w:rsidRPr="0071610B">
        <w:t xml:space="preserve">Government official responsible for acceptance or approval functions. </w:t>
      </w:r>
    </w:p>
    <w:p w:rsidR="00B6323C" w:rsidRDefault="00B6323C" w:rsidP="00327A2B">
      <w:pPr>
        <w:spacing w:line="240" w:lineRule="auto"/>
      </w:pPr>
      <w:r>
        <w:t>Below are several options that may be used as a receiving report:</w:t>
      </w:r>
    </w:p>
    <w:p w:rsidR="00B6323C" w:rsidRDefault="00B6323C" w:rsidP="00327A2B">
      <w:pPr>
        <w:spacing w:line="240" w:lineRule="auto"/>
        <w:ind w:firstLine="720"/>
      </w:pPr>
      <w:r w:rsidRPr="00661911">
        <w:t xml:space="preserve">OF 347 Order for Supplies or Services </w:t>
      </w:r>
    </w:p>
    <w:p w:rsidR="00B6323C" w:rsidRDefault="00B6323C" w:rsidP="00327A2B">
      <w:pPr>
        <w:spacing w:line="240" w:lineRule="auto"/>
        <w:ind w:firstLine="720"/>
      </w:pPr>
      <w:r w:rsidRPr="00661911">
        <w:t xml:space="preserve">SF 1449 Solicitation/Contract/Order </w:t>
      </w:r>
      <w:r>
        <w:t>f</w:t>
      </w:r>
      <w:r w:rsidRPr="00661911">
        <w:t>or Commercial Items</w:t>
      </w:r>
    </w:p>
    <w:p w:rsidR="00B6323C" w:rsidRDefault="009B4B35" w:rsidP="00327A2B">
      <w:pPr>
        <w:spacing w:line="240" w:lineRule="auto"/>
        <w:ind w:firstLine="720"/>
      </w:pPr>
      <w:hyperlink r:id="rId16" w:history="1">
        <w:r w:rsidR="00B6323C" w:rsidRPr="004E06BE">
          <w:rPr>
            <w:rStyle w:val="Hyperlink"/>
          </w:rPr>
          <w:t>Manual Form w/ elements of FAR 32.905(c)</w:t>
        </w:r>
      </w:hyperlink>
    </w:p>
    <w:p w:rsidR="00206095" w:rsidRDefault="00B6323C" w:rsidP="00327A2B">
      <w:pPr>
        <w:pStyle w:val="NoSpacing"/>
        <w:ind w:firstLine="720"/>
      </w:pPr>
      <w:r w:rsidRPr="00661911">
        <w:t>Rubber Stamp w/ elements of FAR 32.905(c)</w:t>
      </w:r>
    </w:p>
    <w:p w:rsidR="00206095" w:rsidRDefault="00206095" w:rsidP="00327A2B">
      <w:pPr>
        <w:pStyle w:val="NoSpacing"/>
      </w:pPr>
    </w:p>
    <w:p w:rsidR="004E06BE" w:rsidRPr="00327A2B" w:rsidRDefault="00B6323C" w:rsidP="00327A2B">
      <w:pPr>
        <w:pStyle w:val="NoSpacing"/>
      </w:pPr>
      <w:r w:rsidRPr="00327A2B">
        <w:t xml:space="preserve">You can also view our PowerPoint presentation on Effective Receiving (Receipt, Inspection, Acceptance) RIA that is also located on </w:t>
      </w:r>
      <w:r w:rsidR="004E06BE" w:rsidRPr="00327A2B">
        <w:t xml:space="preserve">the Acquisition Services and Review Branch SharePoint Site under the </w:t>
      </w:r>
      <w:hyperlink r:id="rId17" w:history="1">
        <w:r w:rsidR="004E06BE" w:rsidRPr="00327A2B">
          <w:rPr>
            <w:rStyle w:val="Hyperlink"/>
          </w:rPr>
          <w:t>Training Tab</w:t>
        </w:r>
      </w:hyperlink>
      <w:r w:rsidR="00670D93" w:rsidRPr="00327A2B">
        <w:t>.</w:t>
      </w:r>
    </w:p>
    <w:p w:rsidR="00B95576" w:rsidRPr="00B95576" w:rsidRDefault="00B95576" w:rsidP="00327A2B">
      <w:pPr>
        <w:pStyle w:val="Heading1"/>
      </w:pPr>
      <w:r w:rsidRPr="00B95576">
        <w:t xml:space="preserve">NIH Awards Third Conference, Administrative, and Travel Support </w:t>
      </w:r>
      <w:r w:rsidR="004E06BE">
        <w:t xml:space="preserve">(NIH CATS III) </w:t>
      </w:r>
      <w:r w:rsidRPr="00B95576">
        <w:t>Contract</w:t>
      </w:r>
    </w:p>
    <w:p w:rsidR="00B95576" w:rsidRPr="00B95576" w:rsidRDefault="00B95576" w:rsidP="00327A2B">
      <w:pPr>
        <w:spacing w:line="240" w:lineRule="auto"/>
      </w:pPr>
      <w:r w:rsidRPr="00B95576">
        <w:t>The National Institutes of Health (NIH) Office of Logistics and Acquisition Operations (</w:t>
      </w:r>
      <w:r w:rsidRPr="00A77C7B">
        <w:t>OLAO</w:t>
      </w:r>
      <w:r w:rsidRPr="00B95576">
        <w:t xml:space="preserve">) awarded the latest Government-wide contract for conference, administrative, and travel support – </w:t>
      </w:r>
      <w:r w:rsidRPr="00A77C7B">
        <w:t>NIH Conference, Administrative, and Travel Support Contract III (</w:t>
      </w:r>
      <w:r w:rsidRPr="00B95576">
        <w:t>NIHCATS III) – to 13 small businesses.</w:t>
      </w:r>
    </w:p>
    <w:p w:rsidR="00B95576" w:rsidRPr="00B95576" w:rsidRDefault="00B95576" w:rsidP="00327A2B">
      <w:pPr>
        <w:spacing w:line="240" w:lineRule="auto"/>
      </w:pPr>
      <w:r w:rsidRPr="00B95576">
        <w:t>The new contract provides the NIH and other Federal agencies with the means to acquire support services for conferences and meetings over the next 5 years with a potential ceiling totaling $100 million.</w:t>
      </w:r>
    </w:p>
    <w:p w:rsidR="00B95576" w:rsidRPr="00B95576" w:rsidRDefault="00B95576" w:rsidP="00327A2B">
      <w:pPr>
        <w:spacing w:line="240" w:lineRule="auto"/>
      </w:pPr>
      <w:r w:rsidRPr="00B95576">
        <w:t>NIHCATS III offers multiple task areas for services supporting conferences and meetings, including Travel Support; Meeting and Conference Support; Administrative Support; Documentation Support; and Website Design, Development, and Maintenance Support.</w:t>
      </w:r>
    </w:p>
    <w:p w:rsidR="00B95576" w:rsidRPr="00B95576" w:rsidRDefault="00B95576" w:rsidP="00327A2B">
      <w:pPr>
        <w:spacing w:line="240" w:lineRule="auto"/>
      </w:pPr>
      <w:r w:rsidRPr="00B95576">
        <w:t>The 13 small businesses awarded an NIHCATS III contract offer the NIH the most technically capable and competitively priced solutions. Task orders awarded under NIHCATS III will have the added benefit of helping NIH fulfill its Small Business requirement. The 13 awardees selected for this highly sought-after contract can be found on the NIHCATS III website (</w:t>
      </w:r>
      <w:hyperlink r:id="rId18" w:history="1">
        <w:r w:rsidRPr="00A77C7B">
          <w:rPr>
            <w:rStyle w:val="Hyperlink"/>
          </w:rPr>
          <w:t>http://nihcats.olao.od.nih.gov</w:t>
        </w:r>
      </w:hyperlink>
      <w:r w:rsidRPr="00B95576">
        <w:t>).</w:t>
      </w:r>
    </w:p>
    <w:p w:rsidR="00B95576" w:rsidRPr="00B95576" w:rsidRDefault="00B95576" w:rsidP="00327A2B">
      <w:pPr>
        <w:spacing w:line="240" w:lineRule="auto"/>
      </w:pPr>
      <w:r w:rsidRPr="00B95576">
        <w:t xml:space="preserve">NIHCATS III continues the strong tradition established by the NIHCATS II contract.  The NIHCATS Support Team at OLAO is happy to support new and returning customers across NIH and the Government as they transition over to NIHCATS III. </w:t>
      </w:r>
    </w:p>
    <w:p w:rsidR="00B95576" w:rsidRDefault="00B95576" w:rsidP="00327A2B">
      <w:pPr>
        <w:spacing w:line="240" w:lineRule="auto"/>
      </w:pPr>
      <w:r w:rsidRPr="00B95576">
        <w:t xml:space="preserve">Please email the team at </w:t>
      </w:r>
      <w:hyperlink r:id="rId19" w:history="1">
        <w:r w:rsidR="00A77C7B" w:rsidRPr="00CC2BEB">
          <w:rPr>
            <w:rStyle w:val="Hyperlink"/>
          </w:rPr>
          <w:t>NIHCATSIII@mail.nih.gov</w:t>
        </w:r>
      </w:hyperlink>
      <w:r w:rsidRPr="00B95576">
        <w:t xml:space="preserve"> if you have any questions or need assistance.</w:t>
      </w:r>
    </w:p>
    <w:p w:rsidR="00AD2F0A" w:rsidRDefault="00AD2F0A" w:rsidP="00327A2B">
      <w:pPr>
        <w:pStyle w:val="Heading1"/>
      </w:pPr>
      <w:r w:rsidRPr="00535524">
        <w:t xml:space="preserve">NIH </w:t>
      </w:r>
      <w:r>
        <w:t>A</w:t>
      </w:r>
      <w:r w:rsidRPr="00535524">
        <w:t xml:space="preserve">wards </w:t>
      </w:r>
      <w:r>
        <w:t>the Next Public Information and Communication Services (PICS) Contract</w:t>
      </w:r>
    </w:p>
    <w:p w:rsidR="00AD2F0A" w:rsidRDefault="00AD2F0A" w:rsidP="00327A2B">
      <w:pPr>
        <w:spacing w:line="240" w:lineRule="auto"/>
      </w:pPr>
      <w:r w:rsidRPr="00535524">
        <w:t>The National Institutes of Health</w:t>
      </w:r>
      <w:r>
        <w:t xml:space="preserve"> (NIH)</w:t>
      </w:r>
      <w:r w:rsidRPr="00535524">
        <w:t xml:space="preserve"> </w:t>
      </w:r>
      <w:r w:rsidRPr="00AD2F0A">
        <w:t>Office of Logistics and Acquisition Operations (</w:t>
      </w:r>
      <w:r w:rsidRPr="00AD2F0A">
        <w:rPr>
          <w:rStyle w:val="Hyperlink"/>
        </w:rPr>
        <w:t>OLAO</w:t>
      </w:r>
      <w:r w:rsidRPr="00AD2F0A">
        <w:t xml:space="preserve">), with strong support from the Office of Communications &amp; Public Liaison (OCPL), awarded the latest contract for communication support – </w:t>
      </w:r>
      <w:r w:rsidRPr="00AD2F0A">
        <w:rPr>
          <w:rStyle w:val="Hyperlink"/>
        </w:rPr>
        <w:t>NIH Public Information and Communication Services Contract II</w:t>
      </w:r>
      <w:r w:rsidRPr="009840AD">
        <w:t xml:space="preserve"> </w:t>
      </w:r>
      <w:r>
        <w:t>(PICS II) – to 9 small businesses.</w:t>
      </w:r>
    </w:p>
    <w:p w:rsidR="00AD2F0A" w:rsidRDefault="00AD2F0A" w:rsidP="00327A2B">
      <w:pPr>
        <w:spacing w:line="240" w:lineRule="auto"/>
      </w:pPr>
      <w:r>
        <w:lastRenderedPageBreak/>
        <w:t xml:space="preserve">We brainstormed with the best and the brightest of the NIH community to create this contract to increase effectiveness and usability. </w:t>
      </w:r>
      <w:r w:rsidRPr="00535524">
        <w:t>Th</w:t>
      </w:r>
      <w:r>
        <w:t>e</w:t>
      </w:r>
      <w:r w:rsidRPr="00535524">
        <w:t xml:space="preserve"> new contract </w:t>
      </w:r>
      <w:r>
        <w:t xml:space="preserve">offers </w:t>
      </w:r>
      <w:r w:rsidRPr="00535524">
        <w:t xml:space="preserve">the </w:t>
      </w:r>
      <w:r>
        <w:t>NIH</w:t>
      </w:r>
      <w:r w:rsidRPr="00535524">
        <w:t xml:space="preserve"> </w:t>
      </w:r>
      <w:r>
        <w:t>a comprehensive scope providing customers a portfolio of services to address all their communication needs, small or large,</w:t>
      </w:r>
      <w:r w:rsidRPr="00535524">
        <w:t xml:space="preserve"> </w:t>
      </w:r>
      <w:r>
        <w:t xml:space="preserve">over the next </w:t>
      </w:r>
      <w:r w:rsidRPr="00535524">
        <w:t xml:space="preserve">5 years with </w:t>
      </w:r>
      <w:r>
        <w:t xml:space="preserve">a </w:t>
      </w:r>
      <w:r w:rsidRPr="00535524">
        <w:t xml:space="preserve">potential </w:t>
      </w:r>
      <w:r>
        <w:t>ceiling</w:t>
      </w:r>
      <w:r w:rsidRPr="00535524">
        <w:t xml:space="preserve"> totaling $</w:t>
      </w:r>
      <w:r>
        <w:t>500</w:t>
      </w:r>
      <w:r w:rsidRPr="00535524">
        <w:t xml:space="preserve"> million</w:t>
      </w:r>
      <w:r>
        <w:t>.</w:t>
      </w:r>
    </w:p>
    <w:p w:rsidR="00AD2F0A" w:rsidRDefault="00AD2F0A" w:rsidP="00327A2B">
      <w:pPr>
        <w:spacing w:line="240" w:lineRule="auto"/>
      </w:pPr>
      <w:r>
        <w:t>PICS II offers a variety of task areas for services including Communications and Outreach; Materials Development and Distribution; Graphic Design, Web, and Database Support; and Exhibit Support.</w:t>
      </w:r>
    </w:p>
    <w:p w:rsidR="00AD2F0A" w:rsidRPr="00535524" w:rsidRDefault="00AD2F0A" w:rsidP="00327A2B">
      <w:pPr>
        <w:spacing w:line="240" w:lineRule="auto"/>
      </w:pPr>
      <w:r>
        <w:t>The 9</w:t>
      </w:r>
      <w:r w:rsidRPr="00535524">
        <w:t xml:space="preserve"> </w:t>
      </w:r>
      <w:r>
        <w:t xml:space="preserve">small businesses </w:t>
      </w:r>
      <w:r w:rsidRPr="00535524">
        <w:t>awarded a</w:t>
      </w:r>
      <w:r>
        <w:t xml:space="preserve"> PICS II </w:t>
      </w:r>
      <w:r w:rsidRPr="00535524">
        <w:t xml:space="preserve">contract </w:t>
      </w:r>
      <w:r>
        <w:t xml:space="preserve">offer the NIH </w:t>
      </w:r>
      <w:r w:rsidRPr="00535524">
        <w:t>the most technically capable and competitively priced solutions</w:t>
      </w:r>
      <w:r>
        <w:t>. Task orders awarded under PICS II will have the added benefit of helping NIH fulfill its</w:t>
      </w:r>
      <w:r w:rsidRPr="00535524">
        <w:t xml:space="preserve"> Small Business </w:t>
      </w:r>
      <w:r>
        <w:t>requirement. The 9</w:t>
      </w:r>
      <w:r w:rsidRPr="00535524">
        <w:t xml:space="preserve"> </w:t>
      </w:r>
      <w:r>
        <w:t>awardees</w:t>
      </w:r>
      <w:r w:rsidRPr="00535524">
        <w:t xml:space="preserve"> selected for this highly </w:t>
      </w:r>
      <w:r>
        <w:t>anticipated</w:t>
      </w:r>
      <w:r w:rsidRPr="00535524">
        <w:t xml:space="preserve"> </w:t>
      </w:r>
      <w:r>
        <w:t>contract</w:t>
      </w:r>
      <w:r w:rsidRPr="00535524">
        <w:t xml:space="preserve"> can be found on the </w:t>
      </w:r>
      <w:r>
        <w:t>PICS II</w:t>
      </w:r>
      <w:r w:rsidRPr="00AD759C">
        <w:t xml:space="preserve"> </w:t>
      </w:r>
      <w:r w:rsidRPr="00305F86">
        <w:t>website (</w:t>
      </w:r>
      <w:r w:rsidRPr="00AD2F0A">
        <w:rPr>
          <w:rStyle w:val="Hyperlink"/>
        </w:rPr>
        <w:t>http://pics.olao.od.nih.gov</w:t>
      </w:r>
      <w:r w:rsidRPr="00305F86">
        <w:t>).</w:t>
      </w:r>
    </w:p>
    <w:p w:rsidR="00AD2F0A" w:rsidRDefault="00AD2F0A" w:rsidP="00327A2B">
      <w:pPr>
        <w:spacing w:line="240" w:lineRule="auto"/>
      </w:pPr>
      <w:r w:rsidRPr="00F15146">
        <w:t xml:space="preserve">PICS II supports the NIH mission by helping ICs communicate knowledge and research developments to the public and the scientific community with the goal of enhancing health and </w:t>
      </w:r>
      <w:r>
        <w:t>reducing illness and disability. The PICS</w:t>
      </w:r>
      <w:r w:rsidRPr="00535524">
        <w:t xml:space="preserve"> </w:t>
      </w:r>
      <w:r>
        <w:t xml:space="preserve">Support </w:t>
      </w:r>
      <w:r w:rsidRPr="00535524">
        <w:t xml:space="preserve">Team at OLAO </w:t>
      </w:r>
      <w:r>
        <w:t xml:space="preserve">is happy to support new and returning customers as they transition over to PICS II. </w:t>
      </w:r>
    </w:p>
    <w:p w:rsidR="00AD2F0A" w:rsidRDefault="00AD2F0A" w:rsidP="00327A2B">
      <w:pPr>
        <w:spacing w:line="240" w:lineRule="auto"/>
      </w:pPr>
      <w:r>
        <w:t xml:space="preserve">Please email the team </w:t>
      </w:r>
      <w:r w:rsidRPr="00305F86">
        <w:t xml:space="preserve">at </w:t>
      </w:r>
      <w:r w:rsidRPr="00AD2F0A">
        <w:rPr>
          <w:rStyle w:val="Hyperlink"/>
        </w:rPr>
        <w:t>PICSII@mail.nih.gov</w:t>
      </w:r>
      <w:r w:rsidRPr="00305F86">
        <w:t xml:space="preserve"> if</w:t>
      </w:r>
      <w:r>
        <w:t xml:space="preserve"> you have any questions or need assistance.</w:t>
      </w:r>
    </w:p>
    <w:p w:rsidR="00DA3520" w:rsidRDefault="00DA3520" w:rsidP="00327A2B">
      <w:pPr>
        <w:pStyle w:val="Heading1"/>
        <w:spacing w:before="0"/>
      </w:pPr>
    </w:p>
    <w:p w:rsidR="00DA3520" w:rsidRPr="00B7565F" w:rsidRDefault="00DA3520" w:rsidP="00327A2B">
      <w:pPr>
        <w:pStyle w:val="Heading1"/>
        <w:spacing w:before="0"/>
      </w:pPr>
      <w:r>
        <w:t>Recap Corner</w:t>
      </w:r>
    </w:p>
    <w:p w:rsidR="00DA3520" w:rsidRDefault="00DA3520" w:rsidP="00327A2B">
      <w:pPr>
        <w:spacing w:line="240" w:lineRule="auto"/>
      </w:pPr>
      <w:r w:rsidRPr="00FC778F">
        <w:t>Below is a recap of recent OALM communications to the NIH acquisition workforce (</w:t>
      </w:r>
      <w:r>
        <w:t>7/21</w:t>
      </w:r>
      <w:r w:rsidRPr="00FC778F">
        <w:t xml:space="preserve">/18 – </w:t>
      </w:r>
      <w:r>
        <w:t>8</w:t>
      </w:r>
      <w:r w:rsidRPr="00FC778F">
        <w:t>/</w:t>
      </w:r>
      <w:r>
        <w:t>20</w:t>
      </w:r>
      <w:r w:rsidRPr="00FC778F">
        <w:t>/18)</w:t>
      </w:r>
    </w:p>
    <w:tbl>
      <w:tblPr>
        <w:tblStyle w:val="GridTable1Light"/>
        <w:tblW w:w="0" w:type="auto"/>
        <w:tblBorders>
          <w:insideH w:val="single" w:sz="6" w:space="0" w:color="999999" w:themeColor="text1" w:themeTint="66"/>
          <w:insideV w:val="single" w:sz="6" w:space="0" w:color="999999" w:themeColor="text1" w:themeTint="66"/>
        </w:tblBorders>
        <w:tblLayout w:type="fixed"/>
        <w:tblLook w:val="0620" w:firstRow="1" w:lastRow="0" w:firstColumn="0" w:lastColumn="0" w:noHBand="1" w:noVBand="1"/>
        <w:tblCaption w:val="OALM Communications Log"/>
        <w:tblDescription w:val="Provides a list of OALM Communications issued from January 1 - March 9, 2018. The list provides the ID, Date, Title and Purpose of the Communication."/>
      </w:tblPr>
      <w:tblGrid>
        <w:gridCol w:w="953"/>
        <w:gridCol w:w="1022"/>
        <w:gridCol w:w="3436"/>
        <w:gridCol w:w="3939"/>
      </w:tblGrid>
      <w:tr w:rsidR="00DA3520" w:rsidRPr="008A1AD1" w:rsidTr="002D2E88">
        <w:trPr>
          <w:cnfStyle w:val="100000000000" w:firstRow="1" w:lastRow="0" w:firstColumn="0" w:lastColumn="0" w:oddVBand="0" w:evenVBand="0" w:oddHBand="0" w:evenHBand="0" w:firstRowFirstColumn="0" w:firstRowLastColumn="0" w:lastRowFirstColumn="0" w:lastRowLastColumn="0"/>
          <w:tblHeader/>
        </w:trPr>
        <w:tc>
          <w:tcPr>
            <w:tcW w:w="953" w:type="dxa"/>
          </w:tcPr>
          <w:p w:rsidR="00DA3520" w:rsidRPr="008A1AD1" w:rsidRDefault="00DA3520" w:rsidP="00327A2B">
            <w:pPr>
              <w:spacing w:line="240" w:lineRule="auto"/>
            </w:pPr>
            <w:r w:rsidRPr="008A1AD1">
              <w:t>ID</w:t>
            </w:r>
          </w:p>
        </w:tc>
        <w:tc>
          <w:tcPr>
            <w:tcW w:w="1022" w:type="dxa"/>
          </w:tcPr>
          <w:p w:rsidR="00DA3520" w:rsidRPr="008A1AD1" w:rsidRDefault="00DA3520" w:rsidP="00327A2B">
            <w:pPr>
              <w:spacing w:line="240" w:lineRule="auto"/>
            </w:pPr>
            <w:r w:rsidRPr="008A1AD1">
              <w:t>Date</w:t>
            </w:r>
          </w:p>
        </w:tc>
        <w:tc>
          <w:tcPr>
            <w:tcW w:w="3436" w:type="dxa"/>
          </w:tcPr>
          <w:p w:rsidR="00DA3520" w:rsidRPr="008A1AD1" w:rsidRDefault="00DA3520" w:rsidP="00327A2B">
            <w:pPr>
              <w:spacing w:line="240" w:lineRule="auto"/>
            </w:pPr>
            <w:r w:rsidRPr="008A1AD1">
              <w:t>Title</w:t>
            </w:r>
          </w:p>
        </w:tc>
        <w:tc>
          <w:tcPr>
            <w:tcW w:w="3939" w:type="dxa"/>
          </w:tcPr>
          <w:p w:rsidR="00DA3520" w:rsidRPr="008A1AD1" w:rsidRDefault="00DA3520" w:rsidP="00327A2B">
            <w:pPr>
              <w:spacing w:line="240" w:lineRule="auto"/>
            </w:pPr>
            <w:r w:rsidRPr="008A1AD1">
              <w:t>Purpose</w:t>
            </w:r>
          </w:p>
        </w:tc>
      </w:tr>
      <w:tr w:rsidR="00DA3520" w:rsidRPr="008A1AD1" w:rsidTr="002D2E88">
        <w:tc>
          <w:tcPr>
            <w:tcW w:w="953" w:type="dxa"/>
          </w:tcPr>
          <w:p w:rsidR="00DA3520" w:rsidRPr="008A1AD1" w:rsidRDefault="00DA3520" w:rsidP="00327A2B">
            <w:pPr>
              <w:spacing w:line="240" w:lineRule="auto"/>
            </w:pPr>
            <w:r w:rsidRPr="008A1AD1">
              <w:t>18-29</w:t>
            </w:r>
          </w:p>
        </w:tc>
        <w:tc>
          <w:tcPr>
            <w:tcW w:w="1022" w:type="dxa"/>
          </w:tcPr>
          <w:p w:rsidR="00DA3520" w:rsidRPr="008A1AD1" w:rsidRDefault="00DA3520" w:rsidP="00327A2B">
            <w:pPr>
              <w:spacing w:line="240" w:lineRule="auto"/>
            </w:pPr>
            <w:r w:rsidRPr="008A1AD1">
              <w:t>7/21/18</w:t>
            </w:r>
          </w:p>
        </w:tc>
        <w:tc>
          <w:tcPr>
            <w:tcW w:w="3436" w:type="dxa"/>
          </w:tcPr>
          <w:p w:rsidR="00DA3520" w:rsidRPr="008A1AD1" w:rsidRDefault="00DA3520" w:rsidP="00327A2B">
            <w:pPr>
              <w:spacing w:line="240" w:lineRule="auto"/>
            </w:pPr>
            <w:r w:rsidRPr="008A1AD1">
              <w:t>FPDS Production Maintenance</w:t>
            </w:r>
          </w:p>
        </w:tc>
        <w:tc>
          <w:tcPr>
            <w:tcW w:w="3939" w:type="dxa"/>
          </w:tcPr>
          <w:p w:rsidR="00DA3520" w:rsidRPr="008A1AD1" w:rsidRDefault="00DA3520" w:rsidP="00327A2B">
            <w:pPr>
              <w:spacing w:line="240" w:lineRule="auto"/>
            </w:pPr>
            <w:r w:rsidRPr="008A1AD1">
              <w:t>The FPDS production application will be down for scheduled maintenance on Saturday, July 21, 2018 from 8:00 AM - 3:00 PM (EDT). As a result, the DCIS production application will be down as well.  Buyers will not be able to report contract actions to DCIS/FPDS during this time</w:t>
            </w:r>
          </w:p>
        </w:tc>
      </w:tr>
      <w:tr w:rsidR="00DA3520" w:rsidRPr="008A1AD1" w:rsidTr="002D2E88">
        <w:tc>
          <w:tcPr>
            <w:tcW w:w="953" w:type="dxa"/>
          </w:tcPr>
          <w:p w:rsidR="00DA3520" w:rsidRPr="008A1AD1" w:rsidRDefault="00DA3520" w:rsidP="00327A2B">
            <w:pPr>
              <w:spacing w:line="240" w:lineRule="auto"/>
            </w:pPr>
            <w:r w:rsidRPr="008A1AD1">
              <w:t>18-30</w:t>
            </w:r>
          </w:p>
        </w:tc>
        <w:tc>
          <w:tcPr>
            <w:tcW w:w="1022" w:type="dxa"/>
          </w:tcPr>
          <w:p w:rsidR="00DA3520" w:rsidRPr="008A1AD1" w:rsidRDefault="00DA3520" w:rsidP="00327A2B">
            <w:pPr>
              <w:spacing w:line="240" w:lineRule="auto"/>
            </w:pPr>
            <w:r w:rsidRPr="008A1AD1">
              <w:t>7/30/18</w:t>
            </w:r>
          </w:p>
        </w:tc>
        <w:tc>
          <w:tcPr>
            <w:tcW w:w="3436" w:type="dxa"/>
          </w:tcPr>
          <w:p w:rsidR="00DA3520" w:rsidRPr="008A1AD1" w:rsidRDefault="00DA3520" w:rsidP="00327A2B">
            <w:pPr>
              <w:spacing w:line="240" w:lineRule="auto"/>
            </w:pPr>
            <w:r w:rsidRPr="008A1AD1">
              <w:t>FY 2013 Processed PRISM Expiring Lines</w:t>
            </w:r>
          </w:p>
        </w:tc>
        <w:tc>
          <w:tcPr>
            <w:tcW w:w="3939" w:type="dxa"/>
          </w:tcPr>
          <w:p w:rsidR="00DA3520" w:rsidRPr="008A1AD1" w:rsidRDefault="00DA3520" w:rsidP="00327A2B">
            <w:pPr>
              <w:spacing w:line="240" w:lineRule="auto"/>
            </w:pPr>
            <w:r w:rsidRPr="008A1AD1">
              <w:t>The spreadsheet details lines that were closed by the last run of the NBS Line Item Final Close Program on July 13, 2018. DCIS reporting is required within three business days on actions where the total contract action is equal to or above the micro-purchase threshold ($3,000 in FY2013), for construction contract actions ($2,000), and services subject to Service Contract Labor Standards ($2,500).</w:t>
            </w:r>
          </w:p>
        </w:tc>
      </w:tr>
      <w:tr w:rsidR="00DA3520" w:rsidRPr="008A1AD1" w:rsidTr="002D2E88">
        <w:tc>
          <w:tcPr>
            <w:tcW w:w="953" w:type="dxa"/>
          </w:tcPr>
          <w:p w:rsidR="00DA3520" w:rsidRPr="008A1AD1" w:rsidRDefault="00DA3520" w:rsidP="00327A2B">
            <w:pPr>
              <w:spacing w:line="240" w:lineRule="auto"/>
            </w:pPr>
            <w:r w:rsidRPr="008A1AD1">
              <w:t>18-31</w:t>
            </w:r>
          </w:p>
        </w:tc>
        <w:tc>
          <w:tcPr>
            <w:tcW w:w="1022" w:type="dxa"/>
          </w:tcPr>
          <w:p w:rsidR="00DA3520" w:rsidRPr="008A1AD1" w:rsidRDefault="00DA3520" w:rsidP="00327A2B">
            <w:pPr>
              <w:spacing w:line="240" w:lineRule="auto"/>
            </w:pPr>
            <w:r w:rsidRPr="008A1AD1">
              <w:t>8/02/18</w:t>
            </w:r>
          </w:p>
        </w:tc>
        <w:tc>
          <w:tcPr>
            <w:tcW w:w="3436" w:type="dxa"/>
          </w:tcPr>
          <w:p w:rsidR="00DA3520" w:rsidRPr="008A1AD1" w:rsidRDefault="00DA3520" w:rsidP="00327A2B">
            <w:pPr>
              <w:spacing w:line="240" w:lineRule="auto"/>
            </w:pPr>
            <w:r w:rsidRPr="008A1AD1">
              <w:t>Vendor not Active in SAM and Vendor Purpose of Registration</w:t>
            </w:r>
          </w:p>
        </w:tc>
        <w:tc>
          <w:tcPr>
            <w:tcW w:w="3939" w:type="dxa"/>
          </w:tcPr>
          <w:p w:rsidR="00DA3520" w:rsidRPr="008A1AD1" w:rsidRDefault="00DA3520" w:rsidP="00327A2B">
            <w:pPr>
              <w:spacing w:line="240" w:lineRule="auto"/>
            </w:pPr>
            <w:r w:rsidRPr="008A1AD1">
              <w:t xml:space="preserve">REMINDER: SAM is the official website for the U.S. Government when verifying a vendor’s registration. SAM is located at https://www.sam.gov. </w:t>
            </w:r>
          </w:p>
        </w:tc>
      </w:tr>
      <w:tr w:rsidR="00DA3520" w:rsidRPr="008A1AD1" w:rsidTr="002D2E88">
        <w:tc>
          <w:tcPr>
            <w:tcW w:w="953" w:type="dxa"/>
          </w:tcPr>
          <w:p w:rsidR="00DA3520" w:rsidRPr="008A1AD1" w:rsidRDefault="00DA3520" w:rsidP="00327A2B">
            <w:pPr>
              <w:spacing w:line="240" w:lineRule="auto"/>
            </w:pPr>
            <w:r w:rsidRPr="008A1AD1">
              <w:lastRenderedPageBreak/>
              <w:t>18-32</w:t>
            </w:r>
          </w:p>
        </w:tc>
        <w:tc>
          <w:tcPr>
            <w:tcW w:w="1022" w:type="dxa"/>
          </w:tcPr>
          <w:p w:rsidR="00DA3520" w:rsidRPr="008A1AD1" w:rsidRDefault="00DA3520" w:rsidP="00327A2B">
            <w:pPr>
              <w:spacing w:line="240" w:lineRule="auto"/>
            </w:pPr>
            <w:r w:rsidRPr="008A1AD1">
              <w:t>8/09/18</w:t>
            </w:r>
          </w:p>
        </w:tc>
        <w:tc>
          <w:tcPr>
            <w:tcW w:w="3436" w:type="dxa"/>
          </w:tcPr>
          <w:p w:rsidR="00DA3520" w:rsidRPr="008A1AD1" w:rsidRDefault="00DA3520" w:rsidP="00327A2B">
            <w:pPr>
              <w:spacing w:line="240" w:lineRule="auto"/>
            </w:pPr>
            <w:r w:rsidRPr="008A1AD1">
              <w:t>Call for PRISM 7.3 Upgrade UAT TESTERS</w:t>
            </w:r>
          </w:p>
        </w:tc>
        <w:tc>
          <w:tcPr>
            <w:tcW w:w="3939" w:type="dxa"/>
          </w:tcPr>
          <w:p w:rsidR="00DA3520" w:rsidRPr="008A1AD1" w:rsidRDefault="00DA3520" w:rsidP="00327A2B">
            <w:pPr>
              <w:spacing w:line="240" w:lineRule="auto"/>
            </w:pPr>
            <w:r w:rsidRPr="008A1AD1">
              <w:t xml:space="preserve">The PRISM 7.3 Upgrade will deploy to the User Community in FY19. To meet a critical deployment date of the beginning of FY19, we are seeking volunteers to conduct User Acceptance Testing (UAT) of the system.  </w:t>
            </w:r>
          </w:p>
        </w:tc>
      </w:tr>
      <w:tr w:rsidR="00DA3520" w:rsidRPr="008A1AD1" w:rsidTr="002D2E88">
        <w:tc>
          <w:tcPr>
            <w:tcW w:w="953" w:type="dxa"/>
          </w:tcPr>
          <w:p w:rsidR="00DA3520" w:rsidRPr="008A1AD1" w:rsidRDefault="00DA3520" w:rsidP="00327A2B">
            <w:pPr>
              <w:spacing w:line="240" w:lineRule="auto"/>
            </w:pPr>
            <w:r w:rsidRPr="008A1AD1">
              <w:t>18-33</w:t>
            </w:r>
          </w:p>
        </w:tc>
        <w:tc>
          <w:tcPr>
            <w:tcW w:w="1022" w:type="dxa"/>
          </w:tcPr>
          <w:p w:rsidR="00DA3520" w:rsidRPr="008A1AD1" w:rsidRDefault="00DA3520" w:rsidP="00327A2B">
            <w:pPr>
              <w:spacing w:line="240" w:lineRule="auto"/>
            </w:pPr>
            <w:r w:rsidRPr="008A1AD1">
              <w:t>8/15/18</w:t>
            </w:r>
          </w:p>
        </w:tc>
        <w:tc>
          <w:tcPr>
            <w:tcW w:w="3436" w:type="dxa"/>
          </w:tcPr>
          <w:p w:rsidR="00DA3520" w:rsidRPr="008A1AD1" w:rsidRDefault="00DA3520" w:rsidP="00327A2B">
            <w:pPr>
              <w:spacing w:line="240" w:lineRule="auto"/>
            </w:pPr>
            <w:r w:rsidRPr="008A1AD1">
              <w:t>Execution of NBS PO Final Close Program on FY 2013 Canceling Year Funds</w:t>
            </w:r>
          </w:p>
        </w:tc>
        <w:tc>
          <w:tcPr>
            <w:tcW w:w="3939" w:type="dxa"/>
          </w:tcPr>
          <w:p w:rsidR="00DA3520" w:rsidRPr="008A1AD1" w:rsidRDefault="00DA3520" w:rsidP="00327A2B">
            <w:pPr>
              <w:spacing w:line="240" w:lineRule="auto"/>
            </w:pPr>
            <w:r w:rsidRPr="008A1AD1">
              <w:t xml:space="preserve">All Cancel Year Lines (those in their fifth fiscal year after the expiration of an appropriation’s period of availability for incurring new obligations) with a budget year of FY 2013 should have funds de-obligated by the NIH deadline of COB August 20, 2018.  </w:t>
            </w:r>
          </w:p>
        </w:tc>
      </w:tr>
      <w:tr w:rsidR="00DA3520" w:rsidRPr="008A1AD1" w:rsidTr="002D2E88">
        <w:tc>
          <w:tcPr>
            <w:tcW w:w="953" w:type="dxa"/>
          </w:tcPr>
          <w:p w:rsidR="00DA3520" w:rsidRPr="008A1AD1" w:rsidRDefault="00DA3520" w:rsidP="00327A2B">
            <w:pPr>
              <w:spacing w:line="240" w:lineRule="auto"/>
            </w:pPr>
            <w:r w:rsidRPr="008A1AD1">
              <w:t>18-34</w:t>
            </w:r>
          </w:p>
        </w:tc>
        <w:tc>
          <w:tcPr>
            <w:tcW w:w="1022" w:type="dxa"/>
          </w:tcPr>
          <w:p w:rsidR="00DA3520" w:rsidRPr="008A1AD1" w:rsidRDefault="00DA3520" w:rsidP="00327A2B">
            <w:pPr>
              <w:spacing w:line="240" w:lineRule="auto"/>
            </w:pPr>
            <w:r w:rsidRPr="008A1AD1">
              <w:t>8/15/18</w:t>
            </w:r>
          </w:p>
        </w:tc>
        <w:tc>
          <w:tcPr>
            <w:tcW w:w="3436" w:type="dxa"/>
          </w:tcPr>
          <w:p w:rsidR="00DA3520" w:rsidRPr="008A1AD1" w:rsidRDefault="00DA3520" w:rsidP="00327A2B">
            <w:pPr>
              <w:spacing w:line="240" w:lineRule="auto"/>
            </w:pPr>
            <w:r w:rsidRPr="008A1AD1">
              <w:t>Immediate Action Required on FY 2013 Canceling Year Lines Not in “Released” Status</w:t>
            </w:r>
          </w:p>
        </w:tc>
        <w:tc>
          <w:tcPr>
            <w:tcW w:w="3939" w:type="dxa"/>
          </w:tcPr>
          <w:p w:rsidR="00DA3520" w:rsidRPr="008A1AD1" w:rsidRDefault="00DA3520" w:rsidP="00327A2B">
            <w:pPr>
              <w:spacing w:line="240" w:lineRule="auto"/>
            </w:pPr>
            <w:r w:rsidRPr="008A1AD1">
              <w:t xml:space="preserve">In preparation for the next run of the NBS PO Final Close Program, Awards must have a status of “Released” at the header level in PRISM to be eligible for Cancelling Year lines to be de-obligated.  </w:t>
            </w:r>
          </w:p>
        </w:tc>
      </w:tr>
      <w:tr w:rsidR="00DA3520" w:rsidRPr="008A1AD1" w:rsidTr="002D2E88">
        <w:tc>
          <w:tcPr>
            <w:tcW w:w="953" w:type="dxa"/>
          </w:tcPr>
          <w:p w:rsidR="00DA3520" w:rsidRPr="008A1AD1" w:rsidRDefault="00DA3520" w:rsidP="00327A2B">
            <w:pPr>
              <w:spacing w:line="240" w:lineRule="auto"/>
            </w:pPr>
            <w:r w:rsidRPr="008A1AD1">
              <w:t>18-35</w:t>
            </w:r>
          </w:p>
        </w:tc>
        <w:tc>
          <w:tcPr>
            <w:tcW w:w="1022" w:type="dxa"/>
          </w:tcPr>
          <w:p w:rsidR="00DA3520" w:rsidRPr="008A1AD1" w:rsidRDefault="00DA3520" w:rsidP="00327A2B">
            <w:pPr>
              <w:spacing w:line="240" w:lineRule="auto"/>
            </w:pPr>
            <w:r w:rsidRPr="008A1AD1">
              <w:t>8/18/18</w:t>
            </w:r>
          </w:p>
        </w:tc>
        <w:tc>
          <w:tcPr>
            <w:tcW w:w="3436" w:type="dxa"/>
          </w:tcPr>
          <w:p w:rsidR="00DA3520" w:rsidRPr="008A1AD1" w:rsidRDefault="00DA3520" w:rsidP="00327A2B">
            <w:pPr>
              <w:spacing w:line="240" w:lineRule="auto"/>
            </w:pPr>
            <w:r w:rsidRPr="008A1AD1">
              <w:t>FPDS Downtime Production Maintenance</w:t>
            </w:r>
          </w:p>
        </w:tc>
        <w:tc>
          <w:tcPr>
            <w:tcW w:w="3939" w:type="dxa"/>
          </w:tcPr>
          <w:p w:rsidR="00DA3520" w:rsidRPr="008A1AD1" w:rsidRDefault="00DA3520" w:rsidP="00327A2B">
            <w:pPr>
              <w:spacing w:line="240" w:lineRule="auto"/>
            </w:pPr>
            <w:r w:rsidRPr="008A1AD1">
              <w:t xml:space="preserve">The FPDS production application will be down for scheduled maintenance on Saturday, August 18, 2018 from 8:00 AM - 3:00 PM (EDT). </w:t>
            </w:r>
          </w:p>
        </w:tc>
      </w:tr>
      <w:tr w:rsidR="00DA3520" w:rsidRPr="008A1AD1" w:rsidTr="002D2E88">
        <w:tc>
          <w:tcPr>
            <w:tcW w:w="953" w:type="dxa"/>
          </w:tcPr>
          <w:p w:rsidR="00DA3520" w:rsidRPr="008A1AD1" w:rsidRDefault="00DA3520" w:rsidP="00327A2B">
            <w:pPr>
              <w:spacing w:line="240" w:lineRule="auto"/>
            </w:pPr>
            <w:r w:rsidRPr="008A1AD1">
              <w:t>18-36</w:t>
            </w:r>
          </w:p>
        </w:tc>
        <w:tc>
          <w:tcPr>
            <w:tcW w:w="1022" w:type="dxa"/>
          </w:tcPr>
          <w:p w:rsidR="00DA3520" w:rsidRPr="008A1AD1" w:rsidRDefault="00DA3520" w:rsidP="00327A2B">
            <w:pPr>
              <w:spacing w:line="240" w:lineRule="auto"/>
            </w:pPr>
            <w:r w:rsidRPr="008A1AD1">
              <w:t>8/20/18</w:t>
            </w:r>
          </w:p>
        </w:tc>
        <w:tc>
          <w:tcPr>
            <w:tcW w:w="3436" w:type="dxa"/>
          </w:tcPr>
          <w:p w:rsidR="00DA3520" w:rsidRPr="008A1AD1" w:rsidRDefault="00DA3520" w:rsidP="00327A2B">
            <w:pPr>
              <w:spacing w:line="240" w:lineRule="auto"/>
            </w:pPr>
            <w:r w:rsidRPr="008A1AD1">
              <w:t>PRISM Auto-numbering Masks – Retired Masks</w:t>
            </w:r>
          </w:p>
        </w:tc>
        <w:tc>
          <w:tcPr>
            <w:tcW w:w="3939" w:type="dxa"/>
          </w:tcPr>
          <w:p w:rsidR="00DA3520" w:rsidRPr="008A1AD1" w:rsidRDefault="00DA3520" w:rsidP="00327A2B">
            <w:pPr>
              <w:spacing w:line="240" w:lineRule="auto"/>
            </w:pPr>
            <w:r w:rsidRPr="008A1AD1">
              <w:t>Several PRISM Auto-Numbering Masks have been retired from PRISM, they are no longer available for use due to the new Unique Procurement Instrument Identifiers (</w:t>
            </w:r>
            <w:proofErr w:type="spellStart"/>
            <w:r w:rsidRPr="008A1AD1">
              <w:t>uPIID</w:t>
            </w:r>
            <w:proofErr w:type="spellEnd"/>
            <w:r w:rsidRPr="008A1AD1">
              <w:t xml:space="preserve">) structure. </w:t>
            </w:r>
          </w:p>
        </w:tc>
      </w:tr>
      <w:tr w:rsidR="00963ED8" w:rsidRPr="008A1AD1" w:rsidTr="002D2E88">
        <w:tc>
          <w:tcPr>
            <w:tcW w:w="953" w:type="dxa"/>
          </w:tcPr>
          <w:p w:rsidR="00963ED8" w:rsidRPr="008A1AD1" w:rsidRDefault="00963ED8" w:rsidP="00963ED8">
            <w:pPr>
              <w:spacing w:line="259" w:lineRule="auto"/>
            </w:pPr>
            <w:r>
              <w:t>18-37</w:t>
            </w:r>
          </w:p>
        </w:tc>
        <w:tc>
          <w:tcPr>
            <w:tcW w:w="1022" w:type="dxa"/>
          </w:tcPr>
          <w:p w:rsidR="00963ED8" w:rsidRPr="008A1AD1" w:rsidRDefault="00963ED8" w:rsidP="00963ED8">
            <w:pPr>
              <w:spacing w:line="259" w:lineRule="auto"/>
            </w:pPr>
            <w:r>
              <w:t>9/18/18</w:t>
            </w:r>
          </w:p>
        </w:tc>
        <w:tc>
          <w:tcPr>
            <w:tcW w:w="3436" w:type="dxa"/>
          </w:tcPr>
          <w:p w:rsidR="00963ED8" w:rsidRPr="008A1AD1" w:rsidRDefault="00963ED8" w:rsidP="00963ED8">
            <w:pPr>
              <w:spacing w:line="259" w:lineRule="auto"/>
            </w:pPr>
            <w:r>
              <w:t>Unscheduled DCIS Downtime for Production Update and Maintenance</w:t>
            </w:r>
          </w:p>
        </w:tc>
        <w:tc>
          <w:tcPr>
            <w:tcW w:w="3939" w:type="dxa"/>
          </w:tcPr>
          <w:p w:rsidR="00963ED8" w:rsidRPr="008A1AD1" w:rsidRDefault="00963ED8" w:rsidP="00963ED8">
            <w:pPr>
              <w:spacing w:line="259" w:lineRule="auto"/>
            </w:pPr>
            <w:r>
              <w:t>The DCIS production application will be down for an unscheduled production update and maintenance from 12:00 PM to 12:30 PM today, September 18, 2018.</w:t>
            </w:r>
          </w:p>
        </w:tc>
      </w:tr>
    </w:tbl>
    <w:p w:rsidR="00DA3520" w:rsidRDefault="00DA3520" w:rsidP="00327A2B">
      <w:pPr>
        <w:spacing w:line="240" w:lineRule="auto"/>
      </w:pPr>
    </w:p>
    <w:p w:rsidR="000555C5" w:rsidRPr="00C0583B" w:rsidRDefault="000555C5" w:rsidP="00327A2B">
      <w:pPr>
        <w:pStyle w:val="Heading1"/>
        <w:spacing w:before="0"/>
        <w:rPr>
          <w:rFonts w:eastAsia="Arial" w:cs="Arial"/>
          <w:spacing w:val="-5"/>
        </w:rPr>
      </w:pPr>
      <w:r>
        <w:rPr>
          <w:rFonts w:eastAsia="Arial" w:cs="Arial"/>
          <w:spacing w:val="-5"/>
        </w:rPr>
        <w:t>Acquisition T</w:t>
      </w:r>
      <w:r w:rsidRPr="004C4D13">
        <w:rPr>
          <w:rFonts w:eastAsia="Arial" w:cs="Arial"/>
          <w:spacing w:val="-5"/>
        </w:rPr>
        <w:t>raining Information</w:t>
      </w:r>
    </w:p>
    <w:p w:rsidR="000555C5" w:rsidRDefault="000555C5" w:rsidP="00327A2B">
      <w:pPr>
        <w:pStyle w:val="Heading2"/>
        <w:spacing w:before="0" w:line="240" w:lineRule="auto"/>
        <w:rPr>
          <w:rStyle w:val="Strong"/>
          <w:rFonts w:ascii="Arial" w:hAnsi="Arial" w:cs="Arial"/>
          <w:color w:val="000000" w:themeColor="text1"/>
          <w:sz w:val="28"/>
          <w:szCs w:val="28"/>
        </w:rPr>
      </w:pPr>
    </w:p>
    <w:p w:rsidR="000555C5" w:rsidRPr="00C66CE4" w:rsidRDefault="000555C5" w:rsidP="00327A2B">
      <w:pPr>
        <w:pStyle w:val="Heading2"/>
        <w:spacing w:before="0" w:line="240" w:lineRule="auto"/>
        <w:rPr>
          <w:rStyle w:val="Strong"/>
          <w:rFonts w:ascii="Arial" w:hAnsi="Arial" w:cs="Arial"/>
          <w:color w:val="000000" w:themeColor="text1"/>
          <w:sz w:val="28"/>
          <w:szCs w:val="28"/>
        </w:rPr>
      </w:pPr>
      <w:r w:rsidRPr="00C66CE4">
        <w:rPr>
          <w:rStyle w:val="Strong"/>
          <w:rFonts w:ascii="Arial" w:hAnsi="Arial" w:cs="Arial"/>
          <w:color w:val="000000" w:themeColor="text1"/>
          <w:sz w:val="28"/>
          <w:szCs w:val="28"/>
        </w:rPr>
        <w:t>Acquisition Training at NIH</w:t>
      </w:r>
    </w:p>
    <w:p w:rsidR="000555C5" w:rsidRPr="00C0583B" w:rsidRDefault="000555C5" w:rsidP="00327A2B">
      <w:pPr>
        <w:spacing w:after="120" w:line="240" w:lineRule="auto"/>
        <w:rPr>
          <w:rFonts w:eastAsia="Calibri" w:cs="Arial"/>
          <w:color w:val="0000FF"/>
          <w:spacing w:val="-1"/>
          <w:szCs w:val="24"/>
          <w:u w:val="single" w:color="0000FF"/>
        </w:rPr>
      </w:pPr>
      <w:r w:rsidRPr="004467E3">
        <w:rPr>
          <w:rFonts w:eastAsia="Calibri" w:cs="Arial"/>
          <w:spacing w:val="1"/>
          <w:szCs w:val="24"/>
        </w:rPr>
        <w:t>A</w:t>
      </w:r>
      <w:r w:rsidRPr="004467E3">
        <w:rPr>
          <w:rFonts w:eastAsia="Calibri" w:cs="Arial"/>
          <w:szCs w:val="24"/>
        </w:rPr>
        <w:t>c</w:t>
      </w:r>
      <w:r w:rsidRPr="004467E3">
        <w:rPr>
          <w:rFonts w:eastAsia="Calibri" w:cs="Arial"/>
          <w:spacing w:val="-1"/>
          <w:szCs w:val="24"/>
        </w:rPr>
        <w:t>q</w:t>
      </w:r>
      <w:r w:rsidRPr="004467E3">
        <w:rPr>
          <w:rFonts w:eastAsia="Calibri" w:cs="Arial"/>
          <w:spacing w:val="1"/>
          <w:szCs w:val="24"/>
        </w:rPr>
        <w:t>u</w:t>
      </w:r>
      <w:r w:rsidRPr="004467E3">
        <w:rPr>
          <w:rFonts w:eastAsia="Calibri" w:cs="Arial"/>
          <w:spacing w:val="-1"/>
          <w:szCs w:val="24"/>
        </w:rPr>
        <w:t>i</w:t>
      </w:r>
      <w:r w:rsidRPr="004467E3">
        <w:rPr>
          <w:rFonts w:eastAsia="Calibri" w:cs="Arial"/>
          <w:szCs w:val="24"/>
        </w:rPr>
        <w:t>s</w:t>
      </w:r>
      <w:r w:rsidRPr="004467E3">
        <w:rPr>
          <w:rFonts w:eastAsia="Calibri" w:cs="Arial"/>
          <w:spacing w:val="-1"/>
          <w:szCs w:val="24"/>
        </w:rPr>
        <w:t>i</w:t>
      </w:r>
      <w:r w:rsidRPr="004467E3">
        <w:rPr>
          <w:rFonts w:eastAsia="Calibri" w:cs="Arial"/>
          <w:spacing w:val="1"/>
          <w:szCs w:val="24"/>
        </w:rPr>
        <w:t>t</w:t>
      </w:r>
      <w:r w:rsidRPr="004467E3">
        <w:rPr>
          <w:rFonts w:eastAsia="Calibri" w:cs="Arial"/>
          <w:spacing w:val="-1"/>
          <w:szCs w:val="24"/>
        </w:rPr>
        <w:t>i</w:t>
      </w:r>
      <w:r w:rsidRPr="004467E3">
        <w:rPr>
          <w:rFonts w:eastAsia="Calibri" w:cs="Arial"/>
          <w:spacing w:val="1"/>
          <w:szCs w:val="24"/>
        </w:rPr>
        <w:t>o</w:t>
      </w:r>
      <w:r w:rsidRPr="004467E3">
        <w:rPr>
          <w:rFonts w:eastAsia="Calibri" w:cs="Arial"/>
          <w:szCs w:val="24"/>
        </w:rPr>
        <w:t>n</w:t>
      </w:r>
      <w:r w:rsidRPr="004467E3">
        <w:rPr>
          <w:rFonts w:eastAsia="Calibri" w:cs="Arial"/>
          <w:spacing w:val="2"/>
          <w:szCs w:val="24"/>
        </w:rPr>
        <w:t xml:space="preserve"> T</w:t>
      </w:r>
      <w:r w:rsidRPr="004467E3">
        <w:rPr>
          <w:rFonts w:eastAsia="Calibri" w:cs="Arial"/>
          <w:spacing w:val="-3"/>
          <w:szCs w:val="24"/>
        </w:rPr>
        <w:t>r</w:t>
      </w:r>
      <w:r w:rsidRPr="004467E3">
        <w:rPr>
          <w:rFonts w:eastAsia="Calibri" w:cs="Arial"/>
          <w:spacing w:val="1"/>
          <w:szCs w:val="24"/>
        </w:rPr>
        <w:t>a</w:t>
      </w:r>
      <w:r w:rsidRPr="004467E3">
        <w:rPr>
          <w:rFonts w:eastAsia="Calibri" w:cs="Arial"/>
          <w:spacing w:val="-1"/>
          <w:szCs w:val="24"/>
        </w:rPr>
        <w:t>i</w:t>
      </w:r>
      <w:r w:rsidRPr="004467E3">
        <w:rPr>
          <w:rFonts w:eastAsia="Calibri" w:cs="Arial"/>
          <w:spacing w:val="1"/>
          <w:szCs w:val="24"/>
        </w:rPr>
        <w:t>n</w:t>
      </w:r>
      <w:r w:rsidRPr="004467E3">
        <w:rPr>
          <w:rFonts w:eastAsia="Calibri" w:cs="Arial"/>
          <w:spacing w:val="-1"/>
          <w:szCs w:val="24"/>
        </w:rPr>
        <w:t>i</w:t>
      </w:r>
      <w:r w:rsidRPr="004467E3">
        <w:rPr>
          <w:rFonts w:eastAsia="Calibri" w:cs="Arial"/>
          <w:spacing w:val="1"/>
          <w:szCs w:val="24"/>
        </w:rPr>
        <w:t>n</w:t>
      </w:r>
      <w:r w:rsidRPr="004467E3">
        <w:rPr>
          <w:rFonts w:eastAsia="Calibri" w:cs="Arial"/>
          <w:szCs w:val="24"/>
        </w:rPr>
        <w:t>g</w:t>
      </w:r>
      <w:r w:rsidRPr="004467E3">
        <w:rPr>
          <w:rFonts w:eastAsia="Calibri" w:cs="Arial"/>
          <w:spacing w:val="-1"/>
          <w:szCs w:val="24"/>
        </w:rPr>
        <w:t xml:space="preserve"> Cl</w:t>
      </w:r>
      <w:r w:rsidRPr="004467E3">
        <w:rPr>
          <w:rFonts w:eastAsia="Calibri" w:cs="Arial"/>
          <w:spacing w:val="1"/>
          <w:szCs w:val="24"/>
        </w:rPr>
        <w:t>a</w:t>
      </w:r>
      <w:r w:rsidRPr="004467E3">
        <w:rPr>
          <w:rFonts w:eastAsia="Calibri" w:cs="Arial"/>
          <w:szCs w:val="24"/>
        </w:rPr>
        <w:t>ss</w:t>
      </w:r>
      <w:r w:rsidRPr="004467E3">
        <w:rPr>
          <w:rFonts w:eastAsia="Calibri" w:cs="Arial"/>
          <w:spacing w:val="1"/>
          <w:szCs w:val="24"/>
        </w:rPr>
        <w:t>e</w:t>
      </w:r>
      <w:r w:rsidRPr="004467E3">
        <w:rPr>
          <w:rFonts w:eastAsia="Calibri" w:cs="Arial"/>
          <w:szCs w:val="24"/>
        </w:rPr>
        <w:t>s</w:t>
      </w:r>
      <w:r w:rsidRPr="004467E3">
        <w:rPr>
          <w:rFonts w:eastAsia="Calibri" w:cs="Arial"/>
          <w:spacing w:val="1"/>
          <w:szCs w:val="24"/>
        </w:rPr>
        <w:t xml:space="preserve"> that are offered by the NIH Training Center </w:t>
      </w:r>
      <w:r w:rsidRPr="004467E3">
        <w:rPr>
          <w:rFonts w:eastAsia="Calibri" w:cs="Arial"/>
          <w:szCs w:val="24"/>
        </w:rPr>
        <w:t>can</w:t>
      </w:r>
      <w:r w:rsidRPr="004467E3">
        <w:rPr>
          <w:rFonts w:eastAsia="Calibri" w:cs="Arial"/>
          <w:spacing w:val="2"/>
          <w:szCs w:val="24"/>
        </w:rPr>
        <w:t xml:space="preserve"> </w:t>
      </w:r>
      <w:r w:rsidRPr="004467E3">
        <w:rPr>
          <w:rFonts w:eastAsia="Calibri" w:cs="Arial"/>
          <w:spacing w:val="-1"/>
          <w:szCs w:val="24"/>
        </w:rPr>
        <w:t>b</w:t>
      </w:r>
      <w:r w:rsidRPr="004467E3">
        <w:rPr>
          <w:rFonts w:eastAsia="Calibri" w:cs="Arial"/>
          <w:szCs w:val="24"/>
        </w:rPr>
        <w:t>e</w:t>
      </w:r>
      <w:r w:rsidRPr="004467E3">
        <w:rPr>
          <w:rFonts w:eastAsia="Calibri" w:cs="Arial"/>
          <w:spacing w:val="2"/>
          <w:szCs w:val="24"/>
        </w:rPr>
        <w:t xml:space="preserve"> </w:t>
      </w:r>
      <w:r w:rsidRPr="004467E3">
        <w:rPr>
          <w:rFonts w:eastAsia="Calibri" w:cs="Arial"/>
          <w:spacing w:val="1"/>
          <w:szCs w:val="24"/>
        </w:rPr>
        <w:t>a</w:t>
      </w:r>
      <w:r w:rsidRPr="004467E3">
        <w:rPr>
          <w:rFonts w:eastAsia="Calibri" w:cs="Arial"/>
          <w:szCs w:val="24"/>
        </w:rPr>
        <w:t>c</w:t>
      </w:r>
      <w:r w:rsidRPr="004467E3">
        <w:rPr>
          <w:rFonts w:eastAsia="Calibri" w:cs="Arial"/>
          <w:spacing w:val="-2"/>
          <w:szCs w:val="24"/>
        </w:rPr>
        <w:t>c</w:t>
      </w:r>
      <w:r w:rsidRPr="004467E3">
        <w:rPr>
          <w:rFonts w:eastAsia="Calibri" w:cs="Arial"/>
          <w:spacing w:val="1"/>
          <w:szCs w:val="24"/>
        </w:rPr>
        <w:t>e</w:t>
      </w:r>
      <w:r w:rsidRPr="004467E3">
        <w:rPr>
          <w:rFonts w:eastAsia="Calibri" w:cs="Arial"/>
          <w:szCs w:val="24"/>
        </w:rPr>
        <w:t>ss</w:t>
      </w:r>
      <w:r w:rsidRPr="004467E3">
        <w:rPr>
          <w:rFonts w:eastAsia="Calibri" w:cs="Arial"/>
          <w:spacing w:val="-1"/>
          <w:szCs w:val="24"/>
        </w:rPr>
        <w:t>e</w:t>
      </w:r>
      <w:r w:rsidRPr="004467E3">
        <w:rPr>
          <w:rFonts w:eastAsia="Calibri" w:cs="Arial"/>
          <w:szCs w:val="24"/>
        </w:rPr>
        <w:t>d</w:t>
      </w:r>
      <w:r w:rsidRPr="004467E3">
        <w:rPr>
          <w:rFonts w:eastAsia="Calibri" w:cs="Arial"/>
          <w:spacing w:val="2"/>
          <w:szCs w:val="24"/>
        </w:rPr>
        <w:t xml:space="preserve"> </w:t>
      </w:r>
      <w:r w:rsidRPr="004467E3">
        <w:rPr>
          <w:rFonts w:eastAsia="Calibri" w:cs="Arial"/>
          <w:spacing w:val="1"/>
          <w:szCs w:val="24"/>
        </w:rPr>
        <w:t>a</w:t>
      </w:r>
      <w:r w:rsidRPr="004467E3">
        <w:rPr>
          <w:rFonts w:eastAsia="Calibri" w:cs="Arial"/>
          <w:szCs w:val="24"/>
        </w:rPr>
        <w:t>t</w:t>
      </w:r>
      <w:r w:rsidRPr="004467E3">
        <w:rPr>
          <w:rFonts w:eastAsia="Calibri" w:cs="Arial"/>
          <w:spacing w:val="-1"/>
          <w:szCs w:val="24"/>
        </w:rPr>
        <w:t xml:space="preserve"> </w:t>
      </w:r>
      <w:r w:rsidRPr="004467E3">
        <w:rPr>
          <w:rFonts w:eastAsia="Calibri" w:cs="Arial"/>
          <w:spacing w:val="1"/>
          <w:szCs w:val="24"/>
        </w:rPr>
        <w:t>th</w:t>
      </w:r>
      <w:r w:rsidRPr="004467E3">
        <w:rPr>
          <w:rFonts w:eastAsia="Calibri" w:cs="Arial"/>
          <w:szCs w:val="24"/>
        </w:rPr>
        <w:t>e</w:t>
      </w:r>
      <w:r w:rsidRPr="004467E3">
        <w:rPr>
          <w:rFonts w:eastAsia="Calibri" w:cs="Arial"/>
          <w:spacing w:val="-3"/>
          <w:szCs w:val="24"/>
        </w:rPr>
        <w:t xml:space="preserve"> </w:t>
      </w:r>
      <w:r w:rsidRPr="004467E3">
        <w:rPr>
          <w:rFonts w:eastAsia="Calibri" w:cs="Arial"/>
          <w:spacing w:val="3"/>
          <w:szCs w:val="24"/>
        </w:rPr>
        <w:t>f</w:t>
      </w:r>
      <w:r w:rsidRPr="004467E3">
        <w:rPr>
          <w:rFonts w:eastAsia="Calibri" w:cs="Arial"/>
          <w:spacing w:val="1"/>
          <w:szCs w:val="24"/>
        </w:rPr>
        <w:t>o</w:t>
      </w:r>
      <w:r w:rsidRPr="004467E3">
        <w:rPr>
          <w:rFonts w:eastAsia="Calibri" w:cs="Arial"/>
          <w:spacing w:val="-1"/>
          <w:szCs w:val="24"/>
        </w:rPr>
        <w:t>ll</w:t>
      </w:r>
      <w:r w:rsidRPr="004467E3">
        <w:rPr>
          <w:rFonts w:eastAsia="Calibri" w:cs="Arial"/>
          <w:spacing w:val="1"/>
          <w:szCs w:val="24"/>
        </w:rPr>
        <w:t>o</w:t>
      </w:r>
      <w:r w:rsidRPr="004467E3">
        <w:rPr>
          <w:rFonts w:eastAsia="Calibri" w:cs="Arial"/>
          <w:spacing w:val="-3"/>
          <w:szCs w:val="24"/>
        </w:rPr>
        <w:t>w</w:t>
      </w:r>
      <w:r w:rsidRPr="004467E3">
        <w:rPr>
          <w:rFonts w:eastAsia="Calibri" w:cs="Arial"/>
          <w:spacing w:val="-1"/>
          <w:szCs w:val="24"/>
        </w:rPr>
        <w:t>i</w:t>
      </w:r>
      <w:r w:rsidRPr="004467E3">
        <w:rPr>
          <w:rFonts w:eastAsia="Calibri" w:cs="Arial"/>
          <w:spacing w:val="1"/>
          <w:szCs w:val="24"/>
        </w:rPr>
        <w:t xml:space="preserve">ng </w:t>
      </w:r>
      <w:r w:rsidRPr="004467E3">
        <w:rPr>
          <w:rFonts w:eastAsia="Calibri" w:cs="Arial"/>
          <w:szCs w:val="24"/>
        </w:rPr>
        <w:t>li</w:t>
      </w:r>
      <w:r w:rsidRPr="004467E3">
        <w:rPr>
          <w:rFonts w:eastAsia="Calibri" w:cs="Arial"/>
          <w:spacing w:val="1"/>
          <w:szCs w:val="24"/>
        </w:rPr>
        <w:t>n</w:t>
      </w:r>
      <w:r w:rsidRPr="004467E3">
        <w:rPr>
          <w:rFonts w:eastAsia="Calibri" w:cs="Arial"/>
          <w:szCs w:val="24"/>
        </w:rPr>
        <w:t>k</w:t>
      </w:r>
      <w:r w:rsidRPr="00A11350">
        <w:rPr>
          <w:rFonts w:eastAsia="Calibri" w:cs="Arial"/>
          <w:szCs w:val="24"/>
        </w:rPr>
        <w:t xml:space="preserve">: </w:t>
      </w:r>
      <w:r w:rsidRPr="00A11350">
        <w:rPr>
          <w:rFonts w:eastAsia="Calibri" w:cs="Arial"/>
          <w:color w:val="0000FF"/>
          <w:spacing w:val="-65"/>
          <w:szCs w:val="24"/>
        </w:rPr>
        <w:t xml:space="preserve"> </w:t>
      </w:r>
      <w:hyperlink r:id="rId20" w:tooltip="Acquisition Management Training" w:history="1">
        <w:r w:rsidRPr="00A11350">
          <w:rPr>
            <w:rStyle w:val="Hyperlink"/>
            <w:rFonts w:eastAsia="Calibri" w:cs="Arial"/>
            <w:spacing w:val="-1"/>
            <w:szCs w:val="24"/>
          </w:rPr>
          <w:t>Acquisition Management Training</w:t>
        </w:r>
      </w:hyperlink>
    </w:p>
    <w:p w:rsidR="000555C5" w:rsidRPr="00C66CE4" w:rsidRDefault="000555C5" w:rsidP="00327A2B">
      <w:pPr>
        <w:pStyle w:val="Heading2"/>
        <w:spacing w:before="0" w:line="240" w:lineRule="auto"/>
        <w:rPr>
          <w:rStyle w:val="Strong"/>
          <w:rFonts w:ascii="Arial" w:hAnsi="Arial" w:cs="Arial"/>
          <w:color w:val="000000" w:themeColor="text1"/>
          <w:sz w:val="28"/>
          <w:szCs w:val="28"/>
        </w:rPr>
      </w:pPr>
      <w:r w:rsidRPr="00C66CE4">
        <w:rPr>
          <w:rStyle w:val="Strong"/>
          <w:rFonts w:ascii="Arial" w:hAnsi="Arial" w:cs="Arial"/>
          <w:color w:val="000000" w:themeColor="text1"/>
          <w:sz w:val="28"/>
          <w:szCs w:val="28"/>
        </w:rPr>
        <w:t>Federal Acquisition Certification Coursework</w:t>
      </w:r>
    </w:p>
    <w:p w:rsidR="000555C5" w:rsidRPr="00C0583B" w:rsidRDefault="000555C5" w:rsidP="00327A2B">
      <w:pPr>
        <w:spacing w:after="120" w:line="240" w:lineRule="auto"/>
        <w:rPr>
          <w:rFonts w:cs="Arial"/>
          <w:szCs w:val="24"/>
        </w:rPr>
      </w:pPr>
      <w:r w:rsidRPr="004467E3">
        <w:rPr>
          <w:rFonts w:cs="Arial"/>
          <w:szCs w:val="24"/>
        </w:rPr>
        <w:t xml:space="preserve">CON courses and other Federal Acquisition Certification required courses can be found at the </w:t>
      </w:r>
      <w:hyperlink r:id="rId21" w:tooltip="NIH Training Center" w:history="1">
        <w:r w:rsidRPr="004467E3">
          <w:rPr>
            <w:rStyle w:val="Hyperlink"/>
            <w:rFonts w:cs="Arial"/>
            <w:szCs w:val="24"/>
          </w:rPr>
          <w:t>NIH Training Center</w:t>
        </w:r>
      </w:hyperlink>
      <w:r w:rsidRPr="004467E3">
        <w:rPr>
          <w:rFonts w:cs="Arial"/>
          <w:szCs w:val="24"/>
        </w:rPr>
        <w:t xml:space="preserve">, </w:t>
      </w:r>
      <w:hyperlink r:id="rId22" w:tooltip="Federal Acquisition Institute" w:history="1">
        <w:r w:rsidRPr="004467E3">
          <w:rPr>
            <w:rStyle w:val="Hyperlink"/>
            <w:rFonts w:cs="Arial"/>
            <w:szCs w:val="24"/>
          </w:rPr>
          <w:t>Federal Acquisition Institute</w:t>
        </w:r>
      </w:hyperlink>
      <w:r w:rsidRPr="004467E3">
        <w:rPr>
          <w:rFonts w:cs="Arial"/>
          <w:szCs w:val="24"/>
        </w:rPr>
        <w:t xml:space="preserve">, and </w:t>
      </w:r>
      <w:hyperlink r:id="rId23" w:tooltip="Defense Acquisition University" w:history="1">
        <w:r w:rsidRPr="004467E3">
          <w:rPr>
            <w:rStyle w:val="Hyperlink"/>
            <w:rFonts w:cs="Arial"/>
            <w:szCs w:val="24"/>
          </w:rPr>
          <w:t>Defense Acquisition University</w:t>
        </w:r>
      </w:hyperlink>
      <w:r w:rsidRPr="004467E3">
        <w:rPr>
          <w:rFonts w:cs="Arial"/>
          <w:szCs w:val="24"/>
        </w:rPr>
        <w:t>.</w:t>
      </w:r>
    </w:p>
    <w:p w:rsidR="000555C5" w:rsidRPr="00206095" w:rsidRDefault="000555C5" w:rsidP="00327A2B">
      <w:pPr>
        <w:spacing w:line="240" w:lineRule="auto"/>
        <w:contextualSpacing/>
        <w:rPr>
          <w:rStyle w:val="Strong"/>
          <w:rFonts w:ascii="Arial" w:hAnsi="Arial" w:cs="Arial"/>
          <w:sz w:val="28"/>
          <w:szCs w:val="28"/>
        </w:rPr>
      </w:pPr>
      <w:r w:rsidRPr="00206095">
        <w:rPr>
          <w:rStyle w:val="Strong"/>
          <w:rFonts w:ascii="Arial" w:hAnsi="Arial" w:cs="Arial"/>
          <w:sz w:val="28"/>
          <w:szCs w:val="28"/>
        </w:rPr>
        <w:lastRenderedPageBreak/>
        <w:t>Section 508 Accessibility Training</w:t>
      </w:r>
    </w:p>
    <w:p w:rsidR="000555C5" w:rsidRPr="004467E3" w:rsidRDefault="000555C5" w:rsidP="00327A2B">
      <w:pPr>
        <w:spacing w:after="120" w:line="240" w:lineRule="auto"/>
        <w:rPr>
          <w:rFonts w:cs="Arial"/>
          <w:szCs w:val="24"/>
        </w:rPr>
      </w:pPr>
      <w:r w:rsidRPr="004467E3">
        <w:rPr>
          <w:rFonts w:cs="Arial"/>
          <w:szCs w:val="24"/>
        </w:rPr>
        <w:t>Section 508 Accessibility Training courses can be accessed at</w:t>
      </w:r>
      <w:bookmarkStart w:id="1" w:name="_Hlk419199521"/>
      <w:r w:rsidRPr="004467E3">
        <w:rPr>
          <w:rFonts w:cs="Arial"/>
          <w:szCs w:val="24"/>
        </w:rPr>
        <w:t xml:space="preserve">: </w:t>
      </w:r>
      <w:hyperlink r:id="rId24" w:tooltip="CIT 508 Training Webpage" w:history="1">
        <w:bookmarkEnd w:id="1"/>
        <w:r>
          <w:rPr>
            <w:rStyle w:val="Hyperlink"/>
            <w:rFonts w:cs="Arial"/>
            <w:szCs w:val="24"/>
          </w:rPr>
          <w:t>CIT Section 508 Accessibility Training Website</w:t>
        </w:r>
      </w:hyperlink>
      <w:r w:rsidRPr="004467E3">
        <w:rPr>
          <w:rFonts w:cs="Arial"/>
          <w:szCs w:val="24"/>
        </w:rPr>
        <w:t>.</w:t>
      </w:r>
    </w:p>
    <w:p w:rsidR="000555C5" w:rsidRPr="00C66CE4" w:rsidRDefault="000555C5" w:rsidP="00327A2B">
      <w:pPr>
        <w:pStyle w:val="Heading2"/>
        <w:spacing w:before="0" w:line="240" w:lineRule="auto"/>
        <w:rPr>
          <w:rStyle w:val="Strong"/>
          <w:rFonts w:ascii="Arial" w:hAnsi="Arial" w:cs="Arial"/>
          <w:color w:val="000000" w:themeColor="text1"/>
          <w:sz w:val="28"/>
          <w:szCs w:val="28"/>
        </w:rPr>
      </w:pPr>
      <w:r w:rsidRPr="00C66CE4">
        <w:rPr>
          <w:rStyle w:val="Strong"/>
          <w:rFonts w:ascii="Arial" w:hAnsi="Arial" w:cs="Arial"/>
          <w:color w:val="000000" w:themeColor="text1"/>
          <w:sz w:val="28"/>
          <w:szCs w:val="28"/>
        </w:rPr>
        <w:t>Green Purchasing Training</w:t>
      </w:r>
    </w:p>
    <w:p w:rsidR="00181088" w:rsidRDefault="000555C5" w:rsidP="008F3827">
      <w:pPr>
        <w:spacing w:after="240" w:line="240" w:lineRule="auto"/>
        <w:rPr>
          <w:rFonts w:eastAsia="Calibri" w:cs="Arial"/>
          <w:color w:val="000000" w:themeColor="text1"/>
          <w:szCs w:val="24"/>
        </w:rPr>
      </w:pPr>
      <w:r w:rsidRPr="004467E3">
        <w:rPr>
          <w:rFonts w:eastAsia="Calibri" w:cs="Arial"/>
          <w:color w:val="000000" w:themeColor="text1"/>
          <w:szCs w:val="24"/>
        </w:rPr>
        <w:t xml:space="preserve">Green Purchasing Training and other Green Training courses can be found at: </w:t>
      </w:r>
      <w:hyperlink r:id="rId25" w:tooltip="OALM Green Purchasing Website" w:history="1">
        <w:r w:rsidRPr="004467E3">
          <w:rPr>
            <w:rStyle w:val="Hyperlink"/>
            <w:rFonts w:eastAsia="Calibri" w:cs="Arial"/>
            <w:szCs w:val="24"/>
          </w:rPr>
          <w:t>OALM Green Purchasing Website</w:t>
        </w:r>
      </w:hyperlink>
      <w:r w:rsidRPr="004467E3">
        <w:rPr>
          <w:rFonts w:eastAsia="Calibri" w:cs="Arial"/>
          <w:color w:val="000000" w:themeColor="text1"/>
          <w:szCs w:val="24"/>
        </w:rPr>
        <w:t>.</w:t>
      </w:r>
    </w:p>
    <w:p w:rsidR="008F3827" w:rsidRDefault="008F3827" w:rsidP="008F3827">
      <w:pPr>
        <w:pStyle w:val="Heading1"/>
        <w:spacing w:before="240"/>
        <w:rPr>
          <w:rFonts w:eastAsia="Arial" w:cs="Arial"/>
          <w:spacing w:val="-5"/>
        </w:rPr>
      </w:pPr>
    </w:p>
    <w:p w:rsidR="000555C5" w:rsidRPr="008F3827" w:rsidRDefault="000555C5" w:rsidP="008F3827">
      <w:pPr>
        <w:pStyle w:val="Heading1"/>
        <w:spacing w:before="240"/>
        <w:rPr>
          <w:rFonts w:eastAsia="Arial" w:cs="Arial"/>
          <w:spacing w:val="-5"/>
        </w:rPr>
      </w:pPr>
      <w:r w:rsidRPr="008F3827">
        <w:rPr>
          <w:rFonts w:eastAsia="Arial" w:cs="Arial"/>
          <w:spacing w:val="-5"/>
        </w:rPr>
        <w:t>NIH Blanket Purchase Agreement (BPA) Lists Available Online</w:t>
      </w:r>
    </w:p>
    <w:p w:rsidR="000555C5" w:rsidRPr="004467E3" w:rsidRDefault="000555C5" w:rsidP="00327A2B">
      <w:pPr>
        <w:spacing w:after="120" w:line="240" w:lineRule="auto"/>
        <w:rPr>
          <w:rFonts w:eastAsia="Calibri" w:cs="Arial"/>
          <w:szCs w:val="24"/>
        </w:rPr>
      </w:pPr>
      <w:r w:rsidRPr="004467E3">
        <w:rPr>
          <w:rFonts w:eastAsia="Calibri" w:cs="Arial"/>
          <w:szCs w:val="24"/>
        </w:rPr>
        <w:t xml:space="preserve">Lists of all NIH Blanket Purchase Agreements (BPAs) can be found at the NIH Blanket Purchase Agreement </w:t>
      </w:r>
      <w:hyperlink r:id="rId26" w:tooltip="NIH Blanket Purchase Agreement webpage" w:history="1">
        <w:r w:rsidRPr="004467E3">
          <w:rPr>
            <w:rFonts w:eastAsia="Calibri" w:cs="Arial"/>
            <w:color w:val="0563C1" w:themeColor="hyperlink"/>
            <w:szCs w:val="24"/>
            <w:u w:val="single"/>
          </w:rPr>
          <w:t>webpage</w:t>
        </w:r>
      </w:hyperlink>
      <w:r w:rsidRPr="004467E3">
        <w:rPr>
          <w:rFonts w:eastAsia="Calibri" w:cs="Arial"/>
          <w:szCs w:val="24"/>
        </w:rPr>
        <w:t>.</w:t>
      </w:r>
    </w:p>
    <w:p w:rsidR="000555C5" w:rsidRPr="004467E3" w:rsidRDefault="000555C5" w:rsidP="00327A2B">
      <w:pPr>
        <w:spacing w:after="120" w:line="240" w:lineRule="auto"/>
        <w:rPr>
          <w:rFonts w:eastAsia="Calibri" w:cs="Arial"/>
          <w:szCs w:val="24"/>
        </w:rPr>
      </w:pPr>
      <w:r w:rsidRPr="004467E3">
        <w:rPr>
          <w:rFonts w:eastAsia="Calibri" w:cs="Arial"/>
          <w:szCs w:val="24"/>
        </w:rPr>
        <w:t>This location contains Two BPA Lists:</w:t>
      </w:r>
    </w:p>
    <w:p w:rsidR="000555C5" w:rsidRPr="004467E3" w:rsidRDefault="000555C5" w:rsidP="00327A2B">
      <w:pPr>
        <w:spacing w:line="240" w:lineRule="auto"/>
        <w:ind w:left="450"/>
        <w:rPr>
          <w:rFonts w:eastAsia="Calibri" w:cs="Arial"/>
          <w:szCs w:val="24"/>
        </w:rPr>
      </w:pPr>
      <w:r w:rsidRPr="004467E3">
        <w:rPr>
          <w:rFonts w:eastAsia="Calibri" w:cs="Arial"/>
          <w:szCs w:val="24"/>
        </w:rPr>
        <w:t>1.  Complete vendor alphabetical list;</w:t>
      </w:r>
    </w:p>
    <w:p w:rsidR="000555C5" w:rsidRDefault="000555C5" w:rsidP="00327A2B">
      <w:pPr>
        <w:spacing w:after="120" w:line="240" w:lineRule="auto"/>
        <w:ind w:left="446"/>
        <w:rPr>
          <w:rFonts w:eastAsia="Calibri" w:cs="Arial"/>
          <w:szCs w:val="24"/>
        </w:rPr>
      </w:pPr>
      <w:r w:rsidRPr="004467E3">
        <w:rPr>
          <w:rFonts w:eastAsia="Calibri" w:cs="Arial"/>
          <w:szCs w:val="24"/>
        </w:rPr>
        <w:t>2.  Vendor list sorted by commodity; and</w:t>
      </w:r>
    </w:p>
    <w:p w:rsidR="000555C5" w:rsidRDefault="000555C5" w:rsidP="00327A2B">
      <w:pPr>
        <w:spacing w:line="240" w:lineRule="auto"/>
        <w:rPr>
          <w:rFonts w:eastAsia="Calibri" w:cs="Arial"/>
          <w:szCs w:val="24"/>
        </w:rPr>
      </w:pPr>
      <w:r w:rsidRPr="004467E3">
        <w:rPr>
          <w:rFonts w:eastAsia="Calibri" w:cs="Arial"/>
          <w:szCs w:val="24"/>
        </w:rPr>
        <w:t xml:space="preserve">If you have any questions or need further clarification, please contact the BPA helpline at 301-496-5212 or </w:t>
      </w:r>
      <w:hyperlink r:id="rId27" w:tooltip="BPA Program Helpdesk email" w:history="1">
        <w:r w:rsidRPr="004467E3">
          <w:rPr>
            <w:rFonts w:eastAsia="Calibri" w:cs="Arial"/>
            <w:color w:val="0563C1" w:themeColor="hyperlink"/>
            <w:szCs w:val="24"/>
            <w:u w:val="single"/>
          </w:rPr>
          <w:t>email</w:t>
        </w:r>
      </w:hyperlink>
      <w:r w:rsidRPr="004467E3">
        <w:rPr>
          <w:rFonts w:eastAsia="Calibri" w:cs="Arial"/>
          <w:szCs w:val="24"/>
        </w:rPr>
        <w:t>.</w:t>
      </w:r>
    </w:p>
    <w:p w:rsidR="000555C5" w:rsidRPr="00A5768F" w:rsidRDefault="000555C5" w:rsidP="008F3827">
      <w:pPr>
        <w:pStyle w:val="Heading1"/>
        <w:jc w:val="center"/>
      </w:pPr>
      <w:r w:rsidRPr="00A5768F">
        <w:t>THANKS!</w:t>
      </w:r>
    </w:p>
    <w:p w:rsidR="000555C5" w:rsidRPr="00C0583B" w:rsidRDefault="000555C5" w:rsidP="00327A2B">
      <w:pPr>
        <w:spacing w:after="120" w:line="240" w:lineRule="auto"/>
        <w:rPr>
          <w:rFonts w:cs="Arial"/>
          <w:bCs/>
          <w:szCs w:val="24"/>
        </w:rPr>
      </w:pPr>
      <w:r w:rsidRPr="00C801C6">
        <w:rPr>
          <w:rStyle w:val="Strong"/>
          <w:rFonts w:cs="Arial"/>
          <w:szCs w:val="24"/>
        </w:rPr>
        <w:t xml:space="preserve">We </w:t>
      </w:r>
      <w:r>
        <w:rPr>
          <w:rStyle w:val="Strong"/>
          <w:rFonts w:cs="Arial"/>
          <w:szCs w:val="24"/>
        </w:rPr>
        <w:t>w</w:t>
      </w:r>
      <w:r w:rsidRPr="00C801C6">
        <w:rPr>
          <w:rStyle w:val="Strong"/>
          <w:rFonts w:cs="Arial"/>
          <w:szCs w:val="24"/>
        </w:rPr>
        <w:t>ould like to thank all those who contributed to this and future editions of the OALM Newsletter.</w:t>
      </w:r>
    </w:p>
    <w:p w:rsidR="000555C5" w:rsidRPr="004467E3" w:rsidRDefault="000555C5" w:rsidP="00327A2B">
      <w:pPr>
        <w:spacing w:after="120" w:line="240" w:lineRule="auto"/>
        <w:rPr>
          <w:rFonts w:eastAsia="Calibri" w:cs="Arial"/>
          <w:szCs w:val="24"/>
        </w:rPr>
      </w:pPr>
      <w:r w:rsidRPr="004467E3">
        <w:rPr>
          <w:rFonts w:eastAsia="Calibri" w:cs="Arial"/>
          <w:szCs w:val="24"/>
        </w:rPr>
        <w:t>The OALM Newsletter will be published six (6) times in calendar year 201</w:t>
      </w:r>
      <w:r>
        <w:rPr>
          <w:rFonts w:eastAsia="Calibri" w:cs="Arial"/>
          <w:szCs w:val="24"/>
        </w:rPr>
        <w:t>8</w:t>
      </w:r>
      <w:r w:rsidRPr="004467E3">
        <w:rPr>
          <w:rFonts w:eastAsia="Calibri" w:cs="Arial"/>
          <w:szCs w:val="24"/>
        </w:rPr>
        <w:t>. We encourage staff to submit articles that would be of interest to our readers. We will do our best to include such articles in future editions of the OALM Newsletter.</w:t>
      </w:r>
    </w:p>
    <w:p w:rsidR="000555C5" w:rsidRPr="00C0583B" w:rsidRDefault="000555C5" w:rsidP="00327A2B">
      <w:pPr>
        <w:spacing w:after="120" w:line="240" w:lineRule="auto"/>
        <w:rPr>
          <w:rFonts w:eastAsia="Calibri" w:cs="Arial"/>
          <w:color w:val="0000FF"/>
          <w:position w:val="-1"/>
          <w:szCs w:val="24"/>
        </w:rPr>
      </w:pPr>
      <w:r w:rsidRPr="004467E3">
        <w:rPr>
          <w:rFonts w:eastAsia="Calibri" w:cs="Arial"/>
          <w:szCs w:val="24"/>
        </w:rPr>
        <w:t>P</w:t>
      </w:r>
      <w:r w:rsidRPr="004467E3">
        <w:rPr>
          <w:rFonts w:eastAsia="Calibri" w:cs="Arial"/>
          <w:spacing w:val="-1"/>
          <w:szCs w:val="24"/>
        </w:rPr>
        <w:t>l</w:t>
      </w:r>
      <w:r w:rsidRPr="004467E3">
        <w:rPr>
          <w:rFonts w:eastAsia="Calibri" w:cs="Arial"/>
          <w:szCs w:val="24"/>
        </w:rPr>
        <w:t>ease</w:t>
      </w:r>
      <w:r w:rsidRPr="004467E3">
        <w:rPr>
          <w:rFonts w:eastAsia="Calibri" w:cs="Arial"/>
          <w:spacing w:val="-1"/>
          <w:szCs w:val="24"/>
        </w:rPr>
        <w:t xml:space="preserve"> </w:t>
      </w:r>
      <w:r w:rsidRPr="004467E3">
        <w:rPr>
          <w:rFonts w:eastAsia="Calibri" w:cs="Arial"/>
          <w:szCs w:val="24"/>
        </w:rPr>
        <w:t>a</w:t>
      </w:r>
      <w:r w:rsidRPr="004467E3">
        <w:rPr>
          <w:rFonts w:eastAsia="Calibri" w:cs="Arial"/>
          <w:spacing w:val="-2"/>
          <w:szCs w:val="24"/>
        </w:rPr>
        <w:t>d</w:t>
      </w:r>
      <w:r w:rsidRPr="004467E3">
        <w:rPr>
          <w:rFonts w:eastAsia="Calibri" w:cs="Arial"/>
          <w:szCs w:val="24"/>
        </w:rPr>
        <w:t>d</w:t>
      </w:r>
      <w:r w:rsidRPr="004467E3">
        <w:rPr>
          <w:rFonts w:eastAsia="Calibri" w:cs="Arial"/>
          <w:spacing w:val="-1"/>
          <w:szCs w:val="24"/>
        </w:rPr>
        <w:t>r</w:t>
      </w:r>
      <w:r w:rsidRPr="004467E3">
        <w:rPr>
          <w:rFonts w:eastAsia="Calibri" w:cs="Arial"/>
          <w:szCs w:val="24"/>
        </w:rPr>
        <w:t>ess a</w:t>
      </w:r>
      <w:r w:rsidRPr="004467E3">
        <w:rPr>
          <w:rFonts w:eastAsia="Calibri" w:cs="Arial"/>
          <w:spacing w:val="-1"/>
          <w:szCs w:val="24"/>
        </w:rPr>
        <w:t>l</w:t>
      </w:r>
      <w:r w:rsidRPr="004467E3">
        <w:rPr>
          <w:rFonts w:eastAsia="Calibri" w:cs="Arial"/>
          <w:szCs w:val="24"/>
        </w:rPr>
        <w:t>l co</w:t>
      </w:r>
      <w:r w:rsidRPr="004467E3">
        <w:rPr>
          <w:rFonts w:eastAsia="Calibri" w:cs="Arial"/>
          <w:spacing w:val="-1"/>
          <w:szCs w:val="24"/>
        </w:rPr>
        <w:t>r</w:t>
      </w:r>
      <w:r w:rsidRPr="004467E3">
        <w:rPr>
          <w:rFonts w:eastAsia="Calibri" w:cs="Arial"/>
          <w:spacing w:val="-3"/>
          <w:szCs w:val="24"/>
        </w:rPr>
        <w:t>r</w:t>
      </w:r>
      <w:r w:rsidRPr="004467E3">
        <w:rPr>
          <w:rFonts w:eastAsia="Calibri" w:cs="Arial"/>
          <w:szCs w:val="24"/>
        </w:rPr>
        <w:t>esp</w:t>
      </w:r>
      <w:r w:rsidRPr="004467E3">
        <w:rPr>
          <w:rFonts w:eastAsia="Calibri" w:cs="Arial"/>
          <w:spacing w:val="-2"/>
          <w:szCs w:val="24"/>
        </w:rPr>
        <w:t>o</w:t>
      </w:r>
      <w:r w:rsidRPr="004467E3">
        <w:rPr>
          <w:rFonts w:eastAsia="Calibri" w:cs="Arial"/>
          <w:szCs w:val="24"/>
        </w:rPr>
        <w:t>nd</w:t>
      </w:r>
      <w:r w:rsidRPr="004467E3">
        <w:rPr>
          <w:rFonts w:eastAsia="Calibri" w:cs="Arial"/>
          <w:spacing w:val="-2"/>
          <w:szCs w:val="24"/>
        </w:rPr>
        <w:t>e</w:t>
      </w:r>
      <w:r w:rsidRPr="004467E3">
        <w:rPr>
          <w:rFonts w:eastAsia="Calibri" w:cs="Arial"/>
          <w:szCs w:val="24"/>
        </w:rPr>
        <w:t>nce</w:t>
      </w:r>
      <w:r w:rsidRPr="004467E3">
        <w:rPr>
          <w:rFonts w:eastAsia="Calibri" w:cs="Arial"/>
          <w:spacing w:val="2"/>
          <w:szCs w:val="24"/>
        </w:rPr>
        <w:t xml:space="preserve"> </w:t>
      </w:r>
      <w:r w:rsidRPr="004467E3">
        <w:rPr>
          <w:rFonts w:eastAsia="Calibri" w:cs="Arial"/>
          <w:spacing w:val="-2"/>
          <w:szCs w:val="24"/>
        </w:rPr>
        <w:t>t</w:t>
      </w:r>
      <w:r w:rsidRPr="004467E3">
        <w:rPr>
          <w:rFonts w:eastAsia="Calibri" w:cs="Arial"/>
          <w:szCs w:val="24"/>
        </w:rPr>
        <w:t>o</w:t>
      </w:r>
      <w:r w:rsidRPr="004467E3">
        <w:rPr>
          <w:rFonts w:eastAsia="Calibri" w:cs="Arial"/>
          <w:spacing w:val="2"/>
          <w:szCs w:val="24"/>
        </w:rPr>
        <w:t xml:space="preserve"> </w:t>
      </w:r>
      <w:r w:rsidRPr="004467E3">
        <w:rPr>
          <w:rFonts w:eastAsia="Calibri" w:cs="Arial"/>
          <w:spacing w:val="-2"/>
          <w:szCs w:val="24"/>
        </w:rPr>
        <w:t>t</w:t>
      </w:r>
      <w:r w:rsidRPr="004467E3">
        <w:rPr>
          <w:rFonts w:eastAsia="Calibri" w:cs="Arial"/>
          <w:szCs w:val="24"/>
        </w:rPr>
        <w:t>he</w:t>
      </w:r>
      <w:r w:rsidRPr="004467E3">
        <w:rPr>
          <w:rFonts w:eastAsia="Calibri" w:cs="Arial"/>
          <w:spacing w:val="-1"/>
          <w:szCs w:val="24"/>
        </w:rPr>
        <w:t xml:space="preserve"> </w:t>
      </w:r>
      <w:r w:rsidRPr="004467E3">
        <w:rPr>
          <w:rFonts w:eastAsia="Calibri" w:cs="Arial"/>
          <w:szCs w:val="24"/>
        </w:rPr>
        <w:t>ed</w:t>
      </w:r>
      <w:r w:rsidRPr="004467E3">
        <w:rPr>
          <w:rFonts w:eastAsia="Calibri" w:cs="Arial"/>
          <w:spacing w:val="-1"/>
          <w:szCs w:val="24"/>
        </w:rPr>
        <w:t>i</w:t>
      </w:r>
      <w:r w:rsidRPr="004467E3">
        <w:rPr>
          <w:rFonts w:eastAsia="Calibri" w:cs="Arial"/>
          <w:spacing w:val="-2"/>
          <w:szCs w:val="24"/>
        </w:rPr>
        <w:t>t</w:t>
      </w:r>
      <w:r w:rsidRPr="004467E3">
        <w:rPr>
          <w:rFonts w:eastAsia="Calibri" w:cs="Arial"/>
          <w:szCs w:val="24"/>
        </w:rPr>
        <w:t>o</w:t>
      </w:r>
      <w:r w:rsidRPr="004467E3">
        <w:rPr>
          <w:rFonts w:eastAsia="Calibri" w:cs="Arial"/>
          <w:spacing w:val="-1"/>
          <w:szCs w:val="24"/>
        </w:rPr>
        <w:t>r</w:t>
      </w:r>
      <w:r w:rsidRPr="004467E3">
        <w:rPr>
          <w:rFonts w:eastAsia="Calibri" w:cs="Arial"/>
          <w:szCs w:val="24"/>
        </w:rPr>
        <w:t>s:</w:t>
      </w:r>
      <w:r>
        <w:rPr>
          <w:rFonts w:eastAsia="Calibri" w:cs="Arial"/>
          <w:szCs w:val="24"/>
        </w:rPr>
        <w:t xml:space="preserve"> </w:t>
      </w:r>
      <w:r w:rsidRPr="004467E3">
        <w:rPr>
          <w:rFonts w:eastAsia="Calibri" w:cs="Arial"/>
          <w:spacing w:val="-1"/>
          <w:szCs w:val="24"/>
        </w:rPr>
        <w:t>Mil</w:t>
      </w:r>
      <w:r w:rsidRPr="004467E3">
        <w:rPr>
          <w:rFonts w:eastAsia="Calibri" w:cs="Arial"/>
          <w:szCs w:val="24"/>
        </w:rPr>
        <w:t xml:space="preserve">ton Nicholas, </w:t>
      </w:r>
      <w:hyperlink r:id="rId28" w:tooltip="NicholaM@od.nih.gov" w:history="1">
        <w:r w:rsidRPr="009537CC">
          <w:rPr>
            <w:rStyle w:val="Hyperlink"/>
            <w:rFonts w:eastAsia="Calibri" w:cs="Arial"/>
            <w:spacing w:val="-1"/>
            <w:szCs w:val="24"/>
            <w:u w:color="0000FF"/>
          </w:rPr>
          <w:t>Ni</w:t>
        </w:r>
        <w:r w:rsidRPr="009537CC">
          <w:rPr>
            <w:rStyle w:val="Hyperlink"/>
            <w:rFonts w:eastAsia="Calibri" w:cs="Arial"/>
            <w:szCs w:val="24"/>
            <w:u w:color="0000FF"/>
          </w:rPr>
          <w:t>cho</w:t>
        </w:r>
        <w:r w:rsidRPr="009537CC">
          <w:rPr>
            <w:rStyle w:val="Hyperlink"/>
            <w:rFonts w:eastAsia="Calibri" w:cs="Arial"/>
            <w:spacing w:val="-1"/>
            <w:szCs w:val="24"/>
            <w:u w:color="0000FF"/>
          </w:rPr>
          <w:t>l</w:t>
        </w:r>
        <w:r w:rsidRPr="009537CC">
          <w:rPr>
            <w:rStyle w:val="Hyperlink"/>
            <w:rFonts w:eastAsia="Calibri" w:cs="Arial"/>
            <w:szCs w:val="24"/>
            <w:u w:color="0000FF"/>
          </w:rPr>
          <w:t>a</w:t>
        </w:r>
        <w:r w:rsidRPr="009537CC">
          <w:rPr>
            <w:rStyle w:val="Hyperlink"/>
            <w:rFonts w:eastAsia="Calibri" w:cs="Arial"/>
            <w:spacing w:val="-1"/>
            <w:szCs w:val="24"/>
            <w:u w:color="0000FF"/>
          </w:rPr>
          <w:t>M</w:t>
        </w:r>
        <w:r w:rsidRPr="009537CC">
          <w:rPr>
            <w:rStyle w:val="Hyperlink"/>
            <w:rFonts w:eastAsia="Calibri" w:cs="Arial"/>
            <w:szCs w:val="24"/>
            <w:u w:color="0000FF"/>
          </w:rPr>
          <w:t>@</w:t>
        </w:r>
        <w:r w:rsidRPr="009537CC">
          <w:rPr>
            <w:rStyle w:val="Hyperlink"/>
            <w:rFonts w:eastAsia="Calibri" w:cs="Arial"/>
            <w:spacing w:val="-1"/>
            <w:szCs w:val="24"/>
            <w:u w:color="0000FF"/>
          </w:rPr>
          <w:t>o</w:t>
        </w:r>
        <w:r w:rsidRPr="009537CC">
          <w:rPr>
            <w:rStyle w:val="Hyperlink"/>
            <w:rFonts w:eastAsia="Calibri" w:cs="Arial"/>
            <w:szCs w:val="24"/>
            <w:u w:color="0000FF"/>
          </w:rPr>
          <w:t>d.n</w:t>
        </w:r>
        <w:r w:rsidRPr="009537CC">
          <w:rPr>
            <w:rStyle w:val="Hyperlink"/>
            <w:rFonts w:eastAsia="Calibri" w:cs="Arial"/>
            <w:spacing w:val="-1"/>
            <w:szCs w:val="24"/>
            <w:u w:color="0000FF"/>
          </w:rPr>
          <w:t>i</w:t>
        </w:r>
        <w:r w:rsidRPr="009537CC">
          <w:rPr>
            <w:rStyle w:val="Hyperlink"/>
            <w:rFonts w:eastAsia="Calibri" w:cs="Arial"/>
            <w:szCs w:val="24"/>
            <w:u w:color="0000FF"/>
          </w:rPr>
          <w:t>h.</w:t>
        </w:r>
        <w:r w:rsidRPr="009537CC">
          <w:rPr>
            <w:rStyle w:val="Hyperlink"/>
            <w:rFonts w:eastAsia="Calibri" w:cs="Arial"/>
            <w:spacing w:val="-1"/>
            <w:szCs w:val="24"/>
            <w:u w:color="0000FF"/>
          </w:rPr>
          <w:t>g</w:t>
        </w:r>
        <w:r w:rsidRPr="009537CC">
          <w:rPr>
            <w:rStyle w:val="Hyperlink"/>
            <w:rFonts w:eastAsia="Calibri" w:cs="Arial"/>
            <w:szCs w:val="24"/>
            <w:u w:color="0000FF"/>
          </w:rPr>
          <w:t>o</w:t>
        </w:r>
        <w:r w:rsidRPr="009537CC">
          <w:rPr>
            <w:rStyle w:val="Hyperlink"/>
            <w:rFonts w:eastAsia="Calibri" w:cs="Arial"/>
            <w:spacing w:val="-2"/>
            <w:szCs w:val="24"/>
            <w:u w:color="0000FF"/>
          </w:rPr>
          <w:t>v</w:t>
        </w:r>
      </w:hyperlink>
      <w:hyperlink>
        <w:r w:rsidRPr="004467E3">
          <w:rPr>
            <w:rFonts w:eastAsia="Calibri" w:cs="Arial"/>
            <w:color w:val="000000"/>
            <w:szCs w:val="24"/>
          </w:rPr>
          <w:t>, A</w:t>
        </w:r>
        <w:r w:rsidRPr="004467E3">
          <w:rPr>
            <w:rFonts w:eastAsia="Calibri" w:cs="Arial"/>
            <w:color w:val="000000"/>
            <w:spacing w:val="-1"/>
            <w:szCs w:val="24"/>
          </w:rPr>
          <w:t>n</w:t>
        </w:r>
        <w:r w:rsidRPr="004467E3">
          <w:rPr>
            <w:rFonts w:eastAsia="Calibri" w:cs="Arial"/>
            <w:color w:val="000000"/>
            <w:szCs w:val="24"/>
          </w:rPr>
          <w:t>net</w:t>
        </w:r>
        <w:r w:rsidRPr="004467E3">
          <w:rPr>
            <w:rFonts w:eastAsia="Calibri" w:cs="Arial"/>
            <w:color w:val="000000"/>
            <w:spacing w:val="-2"/>
            <w:szCs w:val="24"/>
          </w:rPr>
          <w:t>t</w:t>
        </w:r>
        <w:r w:rsidRPr="004467E3">
          <w:rPr>
            <w:rFonts w:eastAsia="Calibri" w:cs="Arial"/>
            <w:color w:val="000000"/>
            <w:szCs w:val="24"/>
          </w:rPr>
          <w:t>e</w:t>
        </w:r>
        <w:r w:rsidRPr="004467E3">
          <w:rPr>
            <w:rFonts w:eastAsia="Calibri" w:cs="Arial"/>
            <w:color w:val="000000"/>
            <w:spacing w:val="2"/>
            <w:szCs w:val="24"/>
          </w:rPr>
          <w:t xml:space="preserve"> </w:t>
        </w:r>
        <w:r w:rsidRPr="004467E3">
          <w:rPr>
            <w:rFonts w:eastAsia="Calibri" w:cs="Arial"/>
            <w:color w:val="000000"/>
            <w:spacing w:val="-1"/>
            <w:szCs w:val="24"/>
          </w:rPr>
          <w:t>Ro</w:t>
        </w:r>
        <w:r w:rsidRPr="004467E3">
          <w:rPr>
            <w:rFonts w:eastAsia="Calibri" w:cs="Arial"/>
            <w:color w:val="000000"/>
            <w:spacing w:val="2"/>
            <w:szCs w:val="24"/>
          </w:rPr>
          <w:t>m</w:t>
        </w:r>
        <w:r w:rsidRPr="004467E3">
          <w:rPr>
            <w:rFonts w:eastAsia="Calibri" w:cs="Arial"/>
            <w:color w:val="000000"/>
            <w:szCs w:val="24"/>
          </w:rPr>
          <w:t>a</w:t>
        </w:r>
        <w:r w:rsidRPr="004467E3">
          <w:rPr>
            <w:rFonts w:eastAsia="Calibri" w:cs="Arial"/>
            <w:color w:val="000000"/>
            <w:spacing w:val="-2"/>
            <w:szCs w:val="24"/>
          </w:rPr>
          <w:t>n</w:t>
        </w:r>
        <w:r w:rsidRPr="004467E3">
          <w:rPr>
            <w:rFonts w:eastAsia="Calibri" w:cs="Arial"/>
            <w:color w:val="000000"/>
            <w:szCs w:val="24"/>
          </w:rPr>
          <w:t xml:space="preserve">esk, </w:t>
        </w:r>
      </w:hyperlink>
      <w:hyperlink r:id="rId29" w:tooltip="RomanesA@od.nih.gov" w:history="1">
        <w:r w:rsidRPr="009537CC">
          <w:rPr>
            <w:rStyle w:val="Hyperlink"/>
            <w:rFonts w:eastAsia="Calibri" w:cs="Arial"/>
            <w:spacing w:val="-1"/>
            <w:szCs w:val="24"/>
          </w:rPr>
          <w:t>R</w:t>
        </w:r>
        <w:r w:rsidRPr="009537CC">
          <w:rPr>
            <w:rStyle w:val="Hyperlink"/>
            <w:rFonts w:eastAsia="Calibri" w:cs="Arial"/>
            <w:szCs w:val="24"/>
          </w:rPr>
          <w:t>o</w:t>
        </w:r>
        <w:r w:rsidRPr="009537CC">
          <w:rPr>
            <w:rStyle w:val="Hyperlink"/>
            <w:rFonts w:eastAsia="Calibri" w:cs="Arial"/>
            <w:spacing w:val="2"/>
            <w:szCs w:val="24"/>
          </w:rPr>
          <w:t>m</w:t>
        </w:r>
        <w:r w:rsidRPr="009537CC">
          <w:rPr>
            <w:rStyle w:val="Hyperlink"/>
            <w:rFonts w:eastAsia="Calibri" w:cs="Arial"/>
            <w:spacing w:val="-1"/>
            <w:szCs w:val="24"/>
          </w:rPr>
          <w:t>a</w:t>
        </w:r>
        <w:r w:rsidRPr="009537CC">
          <w:rPr>
            <w:rStyle w:val="Hyperlink"/>
            <w:rFonts w:eastAsia="Calibri" w:cs="Arial"/>
            <w:szCs w:val="24"/>
          </w:rPr>
          <w:t>ne</w:t>
        </w:r>
        <w:r w:rsidRPr="009537CC">
          <w:rPr>
            <w:rStyle w:val="Hyperlink"/>
            <w:rFonts w:eastAsia="Calibri" w:cs="Arial"/>
            <w:spacing w:val="-2"/>
            <w:szCs w:val="24"/>
          </w:rPr>
          <w:t>s</w:t>
        </w:r>
        <w:r w:rsidRPr="009537CC">
          <w:rPr>
            <w:rStyle w:val="Hyperlink"/>
            <w:rFonts w:eastAsia="Calibri" w:cs="Arial"/>
            <w:szCs w:val="24"/>
          </w:rPr>
          <w:t>A</w:t>
        </w:r>
        <w:r w:rsidRPr="009537CC">
          <w:rPr>
            <w:rStyle w:val="Hyperlink"/>
            <w:rFonts w:eastAsia="Calibri" w:cs="Arial"/>
            <w:spacing w:val="-1"/>
            <w:szCs w:val="24"/>
          </w:rPr>
          <w:t>@</w:t>
        </w:r>
        <w:r w:rsidRPr="009537CC">
          <w:rPr>
            <w:rStyle w:val="Hyperlink"/>
            <w:rFonts w:eastAsia="Calibri" w:cs="Arial"/>
            <w:szCs w:val="24"/>
          </w:rPr>
          <w:t>od.n</w:t>
        </w:r>
        <w:r w:rsidRPr="009537CC">
          <w:rPr>
            <w:rStyle w:val="Hyperlink"/>
            <w:rFonts w:eastAsia="Calibri" w:cs="Arial"/>
            <w:spacing w:val="-3"/>
            <w:szCs w:val="24"/>
          </w:rPr>
          <w:t>i</w:t>
        </w:r>
        <w:r w:rsidRPr="009537CC">
          <w:rPr>
            <w:rStyle w:val="Hyperlink"/>
            <w:rFonts w:eastAsia="Calibri" w:cs="Arial"/>
            <w:szCs w:val="24"/>
          </w:rPr>
          <w:t>h.</w:t>
        </w:r>
        <w:r w:rsidRPr="009537CC">
          <w:rPr>
            <w:rStyle w:val="Hyperlink"/>
            <w:rFonts w:eastAsia="Calibri" w:cs="Arial"/>
            <w:spacing w:val="-1"/>
            <w:szCs w:val="24"/>
          </w:rPr>
          <w:t>g</w:t>
        </w:r>
        <w:r w:rsidRPr="009537CC">
          <w:rPr>
            <w:rStyle w:val="Hyperlink"/>
            <w:rFonts w:eastAsia="Calibri" w:cs="Arial"/>
            <w:szCs w:val="24"/>
          </w:rPr>
          <w:t>o</w:t>
        </w:r>
        <w:r w:rsidRPr="009537CC">
          <w:rPr>
            <w:rStyle w:val="Hyperlink"/>
            <w:rFonts w:eastAsia="Calibri" w:cs="Arial"/>
            <w:spacing w:val="-2"/>
            <w:szCs w:val="24"/>
          </w:rPr>
          <w:t>v</w:t>
        </w:r>
      </w:hyperlink>
      <w:hyperlink>
        <w:r w:rsidRPr="004467E3">
          <w:rPr>
            <w:rFonts w:eastAsia="Calibri" w:cs="Arial"/>
            <w:color w:val="000000"/>
            <w:szCs w:val="24"/>
          </w:rPr>
          <w:t xml:space="preserve">, </w:t>
        </w:r>
        <w:r w:rsidRPr="004467E3">
          <w:rPr>
            <w:rFonts w:eastAsia="Calibri" w:cs="Arial"/>
            <w:color w:val="000000"/>
            <w:spacing w:val="-1"/>
            <w:szCs w:val="24"/>
          </w:rPr>
          <w:t>Mi</w:t>
        </w:r>
        <w:r w:rsidRPr="004467E3">
          <w:rPr>
            <w:rFonts w:eastAsia="Calibri" w:cs="Arial"/>
            <w:color w:val="000000"/>
            <w:szCs w:val="24"/>
          </w:rPr>
          <w:t>che</w:t>
        </w:r>
        <w:r w:rsidRPr="004467E3">
          <w:rPr>
            <w:rFonts w:eastAsia="Calibri" w:cs="Arial"/>
            <w:color w:val="000000"/>
            <w:spacing w:val="-1"/>
            <w:szCs w:val="24"/>
          </w:rPr>
          <w:t>l</w:t>
        </w:r>
        <w:r w:rsidRPr="004467E3">
          <w:rPr>
            <w:rFonts w:eastAsia="Calibri" w:cs="Arial"/>
            <w:color w:val="000000"/>
            <w:szCs w:val="24"/>
          </w:rPr>
          <w:t>e</w:t>
        </w:r>
      </w:hyperlink>
      <w:r w:rsidRPr="004467E3">
        <w:rPr>
          <w:rFonts w:eastAsia="Calibri" w:cs="Arial"/>
          <w:color w:val="000000"/>
          <w:szCs w:val="24"/>
        </w:rPr>
        <w:t xml:space="preserve"> </w:t>
      </w:r>
      <w:r w:rsidRPr="004467E3">
        <w:rPr>
          <w:rFonts w:eastAsia="Calibri" w:cs="Arial"/>
          <w:spacing w:val="-1"/>
          <w:szCs w:val="24"/>
        </w:rPr>
        <w:t>M</w:t>
      </w:r>
      <w:r w:rsidRPr="004467E3">
        <w:rPr>
          <w:rFonts w:eastAsia="Calibri" w:cs="Arial"/>
          <w:szCs w:val="24"/>
        </w:rPr>
        <w:t>c</w:t>
      </w:r>
      <w:r w:rsidRPr="004467E3">
        <w:rPr>
          <w:rFonts w:eastAsia="Calibri" w:cs="Arial"/>
          <w:spacing w:val="-1"/>
          <w:szCs w:val="24"/>
        </w:rPr>
        <w:t>D</w:t>
      </w:r>
      <w:r w:rsidRPr="004467E3">
        <w:rPr>
          <w:rFonts w:eastAsia="Calibri" w:cs="Arial"/>
          <w:szCs w:val="24"/>
        </w:rPr>
        <w:t>e</w:t>
      </w:r>
      <w:r w:rsidRPr="004467E3">
        <w:rPr>
          <w:rFonts w:eastAsia="Calibri" w:cs="Arial"/>
          <w:spacing w:val="-1"/>
          <w:szCs w:val="24"/>
        </w:rPr>
        <w:t>r</w:t>
      </w:r>
      <w:r w:rsidRPr="004467E3">
        <w:rPr>
          <w:rFonts w:eastAsia="Calibri" w:cs="Arial"/>
          <w:spacing w:val="2"/>
          <w:szCs w:val="24"/>
        </w:rPr>
        <w:t>m</w:t>
      </w:r>
      <w:r w:rsidRPr="004467E3">
        <w:rPr>
          <w:rFonts w:eastAsia="Calibri" w:cs="Arial"/>
          <w:szCs w:val="24"/>
        </w:rPr>
        <w:t xml:space="preserve">ott, </w:t>
      </w:r>
      <w:hyperlink r:id="rId30" w:tooltip="McDermottMl@od.nih.gov" w:history="1">
        <w:r w:rsidRPr="009537CC">
          <w:rPr>
            <w:rStyle w:val="Hyperlink"/>
            <w:rFonts w:eastAsia="Calibri" w:cs="Arial"/>
            <w:spacing w:val="-1"/>
            <w:szCs w:val="24"/>
            <w:u w:color="0000FF"/>
          </w:rPr>
          <w:t>M</w:t>
        </w:r>
        <w:r w:rsidRPr="009537CC">
          <w:rPr>
            <w:rStyle w:val="Hyperlink"/>
            <w:rFonts w:eastAsia="Calibri" w:cs="Arial"/>
            <w:szCs w:val="24"/>
            <w:u w:color="0000FF"/>
          </w:rPr>
          <w:t>c</w:t>
        </w:r>
        <w:r w:rsidRPr="009537CC">
          <w:rPr>
            <w:rStyle w:val="Hyperlink"/>
            <w:rFonts w:eastAsia="Calibri" w:cs="Arial"/>
            <w:spacing w:val="-1"/>
            <w:szCs w:val="24"/>
            <w:u w:color="0000FF"/>
          </w:rPr>
          <w:t>D</w:t>
        </w:r>
        <w:r w:rsidRPr="009537CC">
          <w:rPr>
            <w:rStyle w:val="Hyperlink"/>
            <w:rFonts w:eastAsia="Calibri" w:cs="Arial"/>
            <w:szCs w:val="24"/>
            <w:u w:color="0000FF"/>
          </w:rPr>
          <w:t>e</w:t>
        </w:r>
        <w:r w:rsidRPr="009537CC">
          <w:rPr>
            <w:rStyle w:val="Hyperlink"/>
            <w:rFonts w:eastAsia="Calibri" w:cs="Arial"/>
            <w:spacing w:val="-1"/>
            <w:szCs w:val="24"/>
            <w:u w:color="0000FF"/>
          </w:rPr>
          <w:t>r</w:t>
        </w:r>
        <w:r w:rsidRPr="009537CC">
          <w:rPr>
            <w:rStyle w:val="Hyperlink"/>
            <w:rFonts w:eastAsia="Calibri" w:cs="Arial"/>
            <w:spacing w:val="2"/>
            <w:szCs w:val="24"/>
            <w:u w:color="0000FF"/>
          </w:rPr>
          <w:t>m</w:t>
        </w:r>
        <w:r w:rsidRPr="009537CC">
          <w:rPr>
            <w:rStyle w:val="Hyperlink"/>
            <w:rFonts w:eastAsia="Calibri" w:cs="Arial"/>
            <w:szCs w:val="24"/>
            <w:u w:color="0000FF"/>
          </w:rPr>
          <w:t>o</w:t>
        </w:r>
        <w:r w:rsidRPr="009537CC">
          <w:rPr>
            <w:rStyle w:val="Hyperlink"/>
            <w:rFonts w:eastAsia="Calibri" w:cs="Arial"/>
            <w:spacing w:val="-2"/>
            <w:szCs w:val="24"/>
            <w:u w:color="0000FF"/>
          </w:rPr>
          <w:t>t</w:t>
        </w:r>
        <w:r w:rsidRPr="009537CC">
          <w:rPr>
            <w:rStyle w:val="Hyperlink"/>
            <w:rFonts w:eastAsia="Calibri" w:cs="Arial"/>
            <w:szCs w:val="24"/>
            <w:u w:color="0000FF"/>
          </w:rPr>
          <w:t>t</w:t>
        </w:r>
        <w:r w:rsidRPr="009537CC">
          <w:rPr>
            <w:rStyle w:val="Hyperlink"/>
            <w:rFonts w:eastAsia="Calibri" w:cs="Arial"/>
            <w:spacing w:val="-1"/>
            <w:szCs w:val="24"/>
            <w:u w:color="0000FF"/>
          </w:rPr>
          <w:t>Ml</w:t>
        </w:r>
        <w:r w:rsidRPr="009537CC">
          <w:rPr>
            <w:rStyle w:val="Hyperlink"/>
            <w:rFonts w:eastAsia="Calibri" w:cs="Arial"/>
            <w:szCs w:val="24"/>
            <w:u w:color="0000FF"/>
          </w:rPr>
          <w:t>@od</w:t>
        </w:r>
        <w:r w:rsidRPr="009537CC">
          <w:rPr>
            <w:rStyle w:val="Hyperlink"/>
            <w:rFonts w:eastAsia="Calibri" w:cs="Arial"/>
            <w:spacing w:val="-2"/>
            <w:szCs w:val="24"/>
            <w:u w:color="0000FF"/>
          </w:rPr>
          <w:t>.</w:t>
        </w:r>
        <w:r w:rsidRPr="009537CC">
          <w:rPr>
            <w:rStyle w:val="Hyperlink"/>
            <w:rFonts w:eastAsia="Calibri" w:cs="Arial"/>
            <w:szCs w:val="24"/>
            <w:u w:color="0000FF"/>
          </w:rPr>
          <w:t>n</w:t>
        </w:r>
        <w:r w:rsidRPr="009537CC">
          <w:rPr>
            <w:rStyle w:val="Hyperlink"/>
            <w:rFonts w:eastAsia="Calibri" w:cs="Arial"/>
            <w:spacing w:val="-1"/>
            <w:szCs w:val="24"/>
            <w:u w:color="0000FF"/>
          </w:rPr>
          <w:t>i</w:t>
        </w:r>
        <w:r w:rsidRPr="009537CC">
          <w:rPr>
            <w:rStyle w:val="Hyperlink"/>
            <w:rFonts w:eastAsia="Calibri" w:cs="Arial"/>
            <w:szCs w:val="24"/>
            <w:u w:color="0000FF"/>
          </w:rPr>
          <w:t>h.</w:t>
        </w:r>
        <w:r w:rsidRPr="009537CC">
          <w:rPr>
            <w:rStyle w:val="Hyperlink"/>
            <w:rFonts w:eastAsia="Calibri" w:cs="Arial"/>
            <w:spacing w:val="-1"/>
            <w:szCs w:val="24"/>
            <w:u w:color="0000FF"/>
          </w:rPr>
          <w:t>g</w:t>
        </w:r>
        <w:r w:rsidRPr="009537CC">
          <w:rPr>
            <w:rStyle w:val="Hyperlink"/>
            <w:rFonts w:eastAsia="Calibri" w:cs="Arial"/>
            <w:szCs w:val="24"/>
            <w:u w:color="0000FF"/>
          </w:rPr>
          <w:t>o</w:t>
        </w:r>
        <w:r w:rsidRPr="009537CC">
          <w:rPr>
            <w:rStyle w:val="Hyperlink"/>
            <w:rFonts w:eastAsia="Calibri" w:cs="Arial"/>
            <w:spacing w:val="-2"/>
            <w:szCs w:val="24"/>
            <w:u w:color="0000FF"/>
          </w:rPr>
          <w:t>v</w:t>
        </w:r>
      </w:hyperlink>
      <w:r w:rsidRPr="007B777C">
        <w:rPr>
          <w:rFonts w:eastAsia="Calibri" w:cs="Arial"/>
          <w:szCs w:val="24"/>
        </w:rPr>
        <w:t>, Jesse</w:t>
      </w:r>
      <w:r w:rsidRPr="007B777C">
        <w:rPr>
          <w:rFonts w:eastAsia="Calibri" w:cs="Arial"/>
          <w:spacing w:val="-1"/>
          <w:szCs w:val="24"/>
        </w:rPr>
        <w:t xml:space="preserve"> </w:t>
      </w:r>
      <w:r w:rsidRPr="007B777C">
        <w:rPr>
          <w:rFonts w:eastAsia="Calibri" w:cs="Arial"/>
          <w:szCs w:val="24"/>
        </w:rPr>
        <w:t>Lee</w:t>
      </w:r>
      <w:r w:rsidRPr="007B777C">
        <w:rPr>
          <w:rFonts w:eastAsia="Calibri" w:cs="Arial"/>
          <w:spacing w:val="-1"/>
          <w:szCs w:val="24"/>
        </w:rPr>
        <w:t>,</w:t>
      </w:r>
      <w:r w:rsidRPr="007B777C">
        <w:rPr>
          <w:rFonts w:eastAsia="Calibri" w:cs="Arial"/>
          <w:szCs w:val="24"/>
        </w:rPr>
        <w:t xml:space="preserve"> </w:t>
      </w:r>
      <w:r w:rsidR="00206095" w:rsidRPr="00206095">
        <w:rPr>
          <w:rStyle w:val="Hyperlink"/>
          <w:rFonts w:eastAsia="Calibri" w:cs="Arial"/>
          <w:szCs w:val="24"/>
        </w:rPr>
        <w:t>Jesse</w:t>
      </w:r>
      <w:r w:rsidR="00206095" w:rsidRPr="00206095">
        <w:rPr>
          <w:rStyle w:val="Hyperlink"/>
          <w:rFonts w:eastAsia="Calibri" w:cs="Arial"/>
          <w:spacing w:val="-2"/>
          <w:szCs w:val="24"/>
        </w:rPr>
        <w:t>.</w:t>
      </w:r>
      <w:r w:rsidR="00206095" w:rsidRPr="00206095">
        <w:rPr>
          <w:rStyle w:val="Hyperlink"/>
          <w:rFonts w:eastAsia="Calibri" w:cs="Arial"/>
          <w:szCs w:val="24"/>
        </w:rPr>
        <w:t>Le</w:t>
      </w:r>
      <w:r w:rsidR="00206095" w:rsidRPr="00206095">
        <w:rPr>
          <w:rStyle w:val="Hyperlink"/>
          <w:rFonts w:eastAsia="Calibri" w:cs="Arial"/>
          <w:spacing w:val="-2"/>
          <w:szCs w:val="24"/>
        </w:rPr>
        <w:t>e</w:t>
      </w:r>
      <w:r w:rsidR="00206095" w:rsidRPr="00206095">
        <w:rPr>
          <w:rStyle w:val="Hyperlink"/>
          <w:rFonts w:eastAsia="Calibri" w:cs="Arial"/>
          <w:szCs w:val="24"/>
        </w:rPr>
        <w:t>2</w:t>
      </w:r>
      <w:r w:rsidR="00206095" w:rsidRPr="00206095">
        <w:rPr>
          <w:rStyle w:val="Hyperlink"/>
          <w:rFonts w:eastAsia="Calibri" w:cs="Arial"/>
          <w:spacing w:val="-1"/>
          <w:szCs w:val="24"/>
        </w:rPr>
        <w:t>@ni</w:t>
      </w:r>
      <w:r w:rsidR="00206095" w:rsidRPr="00206095">
        <w:rPr>
          <w:rStyle w:val="Hyperlink"/>
          <w:rFonts w:eastAsia="Calibri" w:cs="Arial"/>
          <w:szCs w:val="24"/>
        </w:rPr>
        <w:t>h.</w:t>
      </w:r>
      <w:r w:rsidR="00206095" w:rsidRPr="00206095">
        <w:rPr>
          <w:rStyle w:val="Hyperlink"/>
          <w:rFonts w:eastAsia="Calibri" w:cs="Arial"/>
          <w:spacing w:val="-1"/>
          <w:szCs w:val="24"/>
        </w:rPr>
        <w:t>g</w:t>
      </w:r>
      <w:r w:rsidR="00206095" w:rsidRPr="00206095">
        <w:rPr>
          <w:rStyle w:val="Hyperlink"/>
          <w:rFonts w:eastAsia="Calibri" w:cs="Arial"/>
          <w:szCs w:val="24"/>
        </w:rPr>
        <w:t>o</w:t>
      </w:r>
      <w:r w:rsidR="00206095" w:rsidRPr="00206095">
        <w:rPr>
          <w:rStyle w:val="Hyperlink"/>
          <w:rFonts w:eastAsia="Calibri" w:cs="Arial"/>
          <w:spacing w:val="-2"/>
          <w:szCs w:val="24"/>
        </w:rPr>
        <w:t>v</w:t>
      </w:r>
      <w:r w:rsidR="00206095">
        <w:rPr>
          <w:rFonts w:eastAsia="Calibri" w:cs="Arial"/>
          <w:position w:val="-1"/>
          <w:szCs w:val="24"/>
        </w:rPr>
        <w:t>, Barry S</w:t>
      </w:r>
      <w:r w:rsidRPr="004467E3">
        <w:rPr>
          <w:rFonts w:eastAsia="Calibri" w:cs="Arial"/>
          <w:position w:val="-1"/>
          <w:szCs w:val="24"/>
        </w:rPr>
        <w:t>o</w:t>
      </w:r>
      <w:r w:rsidRPr="004467E3">
        <w:rPr>
          <w:rFonts w:eastAsia="Calibri" w:cs="Arial"/>
          <w:spacing w:val="-1"/>
          <w:position w:val="-1"/>
          <w:szCs w:val="24"/>
        </w:rPr>
        <w:t>lo</w:t>
      </w:r>
      <w:r w:rsidRPr="004467E3">
        <w:rPr>
          <w:rFonts w:eastAsia="Calibri" w:cs="Arial"/>
          <w:spacing w:val="2"/>
          <w:position w:val="-1"/>
          <w:szCs w:val="24"/>
        </w:rPr>
        <w:t>m</w:t>
      </w:r>
      <w:r w:rsidRPr="004467E3">
        <w:rPr>
          <w:rFonts w:eastAsia="Calibri" w:cs="Arial"/>
          <w:position w:val="-1"/>
          <w:szCs w:val="24"/>
        </w:rPr>
        <w:t>o</w:t>
      </w:r>
      <w:r w:rsidRPr="004467E3">
        <w:rPr>
          <w:rFonts w:eastAsia="Calibri" w:cs="Arial"/>
          <w:spacing w:val="-1"/>
          <w:position w:val="-1"/>
          <w:szCs w:val="24"/>
        </w:rPr>
        <w:t>n</w:t>
      </w:r>
      <w:r>
        <w:rPr>
          <w:rFonts w:eastAsia="Calibri" w:cs="Arial"/>
          <w:position w:val="-1"/>
          <w:szCs w:val="24"/>
        </w:rPr>
        <w:t xml:space="preserve">, </w:t>
      </w:r>
      <w:hyperlink r:id="rId31" w:tooltip="SolomonBJ@od.nih.gov" w:history="1">
        <w:r w:rsidRPr="009537CC">
          <w:rPr>
            <w:rStyle w:val="Hyperlink"/>
          </w:rPr>
          <w:t>SolomonBJ@od.nih.gov</w:t>
        </w:r>
      </w:hyperlink>
      <w:r w:rsidRPr="00943AFF">
        <w:rPr>
          <w:rFonts w:eastAsia="Calibri" w:cs="Arial"/>
          <w:color w:val="0000FF"/>
          <w:position w:val="-1"/>
          <w:szCs w:val="24"/>
        </w:rPr>
        <w:t>.</w:t>
      </w:r>
    </w:p>
    <w:p w:rsidR="00B95576" w:rsidRPr="00B95576" w:rsidRDefault="000555C5" w:rsidP="00327A2B">
      <w:pPr>
        <w:spacing w:line="240" w:lineRule="auto"/>
      </w:pPr>
      <w:r w:rsidRPr="004467E3">
        <w:rPr>
          <w:rFonts w:cs="Arial"/>
          <w:szCs w:val="24"/>
        </w:rPr>
        <w:t xml:space="preserve">If </w:t>
      </w:r>
      <w:r w:rsidRPr="004467E3">
        <w:rPr>
          <w:rFonts w:cs="Arial"/>
          <w:spacing w:val="-2"/>
          <w:szCs w:val="24"/>
        </w:rPr>
        <w:t>y</w:t>
      </w:r>
      <w:r w:rsidRPr="004467E3">
        <w:rPr>
          <w:rFonts w:cs="Arial"/>
          <w:szCs w:val="24"/>
        </w:rPr>
        <w:t>ou</w:t>
      </w:r>
      <w:r w:rsidRPr="004467E3">
        <w:rPr>
          <w:rFonts w:cs="Arial"/>
          <w:spacing w:val="2"/>
          <w:szCs w:val="24"/>
        </w:rPr>
        <w:t xml:space="preserve"> </w:t>
      </w:r>
      <w:r w:rsidRPr="004467E3">
        <w:rPr>
          <w:rFonts w:cs="Arial"/>
          <w:szCs w:val="24"/>
        </w:rPr>
        <w:t>ha</w:t>
      </w:r>
      <w:r w:rsidRPr="004467E3">
        <w:rPr>
          <w:rFonts w:cs="Arial"/>
          <w:spacing w:val="-2"/>
          <w:szCs w:val="24"/>
        </w:rPr>
        <w:t>v</w:t>
      </w:r>
      <w:r w:rsidRPr="004467E3">
        <w:rPr>
          <w:rFonts w:cs="Arial"/>
          <w:szCs w:val="24"/>
        </w:rPr>
        <w:t>e</w:t>
      </w:r>
      <w:r w:rsidRPr="004467E3">
        <w:rPr>
          <w:rFonts w:cs="Arial"/>
          <w:spacing w:val="2"/>
          <w:szCs w:val="24"/>
        </w:rPr>
        <w:t xml:space="preserve"> </w:t>
      </w:r>
      <w:r w:rsidRPr="004467E3">
        <w:rPr>
          <w:rFonts w:cs="Arial"/>
          <w:spacing w:val="-1"/>
          <w:szCs w:val="24"/>
        </w:rPr>
        <w:t>a</w:t>
      </w:r>
      <w:r w:rsidRPr="004467E3">
        <w:rPr>
          <w:rFonts w:cs="Arial"/>
          <w:szCs w:val="24"/>
        </w:rPr>
        <w:t>ny</w:t>
      </w:r>
      <w:r w:rsidRPr="004467E3">
        <w:rPr>
          <w:rFonts w:cs="Arial"/>
          <w:spacing w:val="-2"/>
          <w:szCs w:val="24"/>
        </w:rPr>
        <w:t xml:space="preserve"> </w:t>
      </w:r>
      <w:r w:rsidRPr="004467E3">
        <w:rPr>
          <w:rFonts w:cs="Arial"/>
          <w:spacing w:val="-1"/>
          <w:szCs w:val="24"/>
        </w:rPr>
        <w:t>q</w:t>
      </w:r>
      <w:r w:rsidRPr="004467E3">
        <w:rPr>
          <w:rFonts w:cs="Arial"/>
          <w:szCs w:val="24"/>
        </w:rPr>
        <w:t>uest</w:t>
      </w:r>
      <w:r w:rsidRPr="004467E3">
        <w:rPr>
          <w:rFonts w:cs="Arial"/>
          <w:spacing w:val="-1"/>
          <w:szCs w:val="24"/>
        </w:rPr>
        <w:t>i</w:t>
      </w:r>
      <w:r w:rsidRPr="004467E3">
        <w:rPr>
          <w:rFonts w:cs="Arial"/>
          <w:szCs w:val="24"/>
        </w:rPr>
        <w:t xml:space="preserve">ons or </w:t>
      </w:r>
      <w:r w:rsidRPr="004467E3">
        <w:rPr>
          <w:rFonts w:cs="Arial"/>
          <w:spacing w:val="-2"/>
          <w:szCs w:val="24"/>
        </w:rPr>
        <w:t>c</w:t>
      </w:r>
      <w:r w:rsidRPr="004467E3">
        <w:rPr>
          <w:rFonts w:cs="Arial"/>
          <w:szCs w:val="24"/>
        </w:rPr>
        <w:t>o</w:t>
      </w:r>
      <w:r w:rsidRPr="004467E3">
        <w:rPr>
          <w:rFonts w:cs="Arial"/>
          <w:spacing w:val="-1"/>
          <w:szCs w:val="24"/>
        </w:rPr>
        <w:t>m</w:t>
      </w:r>
      <w:r w:rsidRPr="004467E3">
        <w:rPr>
          <w:rFonts w:cs="Arial"/>
          <w:spacing w:val="2"/>
          <w:szCs w:val="24"/>
        </w:rPr>
        <w:t>m</w:t>
      </w:r>
      <w:r w:rsidRPr="004467E3">
        <w:rPr>
          <w:rFonts w:cs="Arial"/>
          <w:spacing w:val="-1"/>
          <w:szCs w:val="24"/>
        </w:rPr>
        <w:t>e</w:t>
      </w:r>
      <w:r w:rsidRPr="004467E3">
        <w:rPr>
          <w:rFonts w:cs="Arial"/>
          <w:szCs w:val="24"/>
        </w:rPr>
        <w:t xml:space="preserve">nts </w:t>
      </w:r>
      <w:r w:rsidRPr="004467E3">
        <w:rPr>
          <w:rFonts w:cs="Arial"/>
          <w:spacing w:val="-1"/>
          <w:szCs w:val="24"/>
        </w:rPr>
        <w:t>r</w:t>
      </w:r>
      <w:r w:rsidRPr="004467E3">
        <w:rPr>
          <w:rFonts w:cs="Arial"/>
          <w:szCs w:val="24"/>
        </w:rPr>
        <w:t>e</w:t>
      </w:r>
      <w:r w:rsidRPr="004467E3">
        <w:rPr>
          <w:rFonts w:cs="Arial"/>
          <w:spacing w:val="-2"/>
          <w:szCs w:val="24"/>
        </w:rPr>
        <w:t>g</w:t>
      </w:r>
      <w:r w:rsidRPr="004467E3">
        <w:rPr>
          <w:rFonts w:cs="Arial"/>
          <w:spacing w:val="-1"/>
          <w:szCs w:val="24"/>
        </w:rPr>
        <w:t>ar</w:t>
      </w:r>
      <w:r w:rsidRPr="004467E3">
        <w:rPr>
          <w:rFonts w:cs="Arial"/>
          <w:szCs w:val="24"/>
        </w:rPr>
        <w:t>d</w:t>
      </w:r>
      <w:r w:rsidRPr="004467E3">
        <w:rPr>
          <w:rFonts w:cs="Arial"/>
          <w:spacing w:val="-1"/>
          <w:szCs w:val="24"/>
        </w:rPr>
        <w:t>i</w:t>
      </w:r>
      <w:r w:rsidRPr="004467E3">
        <w:rPr>
          <w:rFonts w:cs="Arial"/>
          <w:szCs w:val="24"/>
        </w:rPr>
        <w:t>ng</w:t>
      </w:r>
      <w:r w:rsidRPr="004467E3">
        <w:rPr>
          <w:rFonts w:cs="Arial"/>
          <w:spacing w:val="-1"/>
          <w:szCs w:val="24"/>
        </w:rPr>
        <w:t xml:space="preserve"> </w:t>
      </w:r>
      <w:r w:rsidRPr="004467E3">
        <w:rPr>
          <w:rFonts w:cs="Arial"/>
          <w:szCs w:val="24"/>
        </w:rPr>
        <w:t>the</w:t>
      </w:r>
      <w:r w:rsidRPr="004467E3">
        <w:rPr>
          <w:rFonts w:cs="Arial"/>
          <w:spacing w:val="2"/>
          <w:szCs w:val="24"/>
        </w:rPr>
        <w:t xml:space="preserve"> </w:t>
      </w:r>
      <w:r w:rsidRPr="004467E3">
        <w:rPr>
          <w:rFonts w:cs="Arial"/>
          <w:spacing w:val="-1"/>
          <w:szCs w:val="24"/>
        </w:rPr>
        <w:t>in</w:t>
      </w:r>
      <w:r w:rsidRPr="004467E3">
        <w:rPr>
          <w:rFonts w:cs="Arial"/>
          <w:szCs w:val="24"/>
        </w:rPr>
        <w:t>fo</w:t>
      </w:r>
      <w:r w:rsidRPr="004467E3">
        <w:rPr>
          <w:rFonts w:cs="Arial"/>
          <w:spacing w:val="-1"/>
          <w:szCs w:val="24"/>
        </w:rPr>
        <w:t>rm</w:t>
      </w:r>
      <w:r w:rsidRPr="004467E3">
        <w:rPr>
          <w:rFonts w:cs="Arial"/>
          <w:szCs w:val="24"/>
        </w:rPr>
        <w:t>at</w:t>
      </w:r>
      <w:r w:rsidRPr="004467E3">
        <w:rPr>
          <w:rFonts w:cs="Arial"/>
          <w:spacing w:val="-1"/>
          <w:szCs w:val="24"/>
        </w:rPr>
        <w:t>i</w:t>
      </w:r>
      <w:r w:rsidRPr="004467E3">
        <w:rPr>
          <w:rFonts w:cs="Arial"/>
          <w:szCs w:val="24"/>
        </w:rPr>
        <w:t>o</w:t>
      </w:r>
      <w:r w:rsidRPr="004467E3">
        <w:rPr>
          <w:rFonts w:cs="Arial"/>
          <w:spacing w:val="-2"/>
          <w:szCs w:val="24"/>
        </w:rPr>
        <w:t>n</w:t>
      </w:r>
      <w:r w:rsidRPr="004467E3">
        <w:rPr>
          <w:rFonts w:cs="Arial"/>
          <w:szCs w:val="24"/>
        </w:rPr>
        <w:t xml:space="preserve">, </w:t>
      </w:r>
      <w:r w:rsidRPr="004467E3">
        <w:rPr>
          <w:rFonts w:cs="Arial"/>
          <w:spacing w:val="-1"/>
          <w:szCs w:val="24"/>
        </w:rPr>
        <w:t>p</w:t>
      </w:r>
      <w:r w:rsidRPr="004467E3">
        <w:rPr>
          <w:rFonts w:cs="Arial"/>
          <w:szCs w:val="24"/>
        </w:rPr>
        <w:t>o</w:t>
      </w:r>
      <w:r w:rsidRPr="004467E3">
        <w:rPr>
          <w:rFonts w:cs="Arial"/>
          <w:spacing w:val="-1"/>
          <w:szCs w:val="24"/>
        </w:rPr>
        <w:t>li</w:t>
      </w:r>
      <w:r w:rsidRPr="004467E3">
        <w:rPr>
          <w:rFonts w:cs="Arial"/>
          <w:szCs w:val="24"/>
        </w:rPr>
        <w:t>cy</w:t>
      </w:r>
      <w:r w:rsidRPr="004467E3">
        <w:rPr>
          <w:rFonts w:cs="Arial"/>
          <w:spacing w:val="-2"/>
          <w:szCs w:val="24"/>
        </w:rPr>
        <w:t xml:space="preserve"> </w:t>
      </w:r>
      <w:r w:rsidRPr="004467E3">
        <w:rPr>
          <w:rFonts w:cs="Arial"/>
          <w:szCs w:val="24"/>
        </w:rPr>
        <w:t>and/or p</w:t>
      </w:r>
      <w:r w:rsidRPr="004467E3">
        <w:rPr>
          <w:rFonts w:cs="Arial"/>
          <w:spacing w:val="-1"/>
          <w:szCs w:val="24"/>
        </w:rPr>
        <w:t>r</w:t>
      </w:r>
      <w:r w:rsidRPr="004467E3">
        <w:rPr>
          <w:rFonts w:cs="Arial"/>
          <w:szCs w:val="24"/>
        </w:rPr>
        <w:t>oce</w:t>
      </w:r>
      <w:r w:rsidRPr="004467E3">
        <w:rPr>
          <w:rFonts w:cs="Arial"/>
          <w:spacing w:val="-2"/>
          <w:szCs w:val="24"/>
        </w:rPr>
        <w:t>d</w:t>
      </w:r>
      <w:r w:rsidRPr="004467E3">
        <w:rPr>
          <w:rFonts w:cs="Arial"/>
          <w:szCs w:val="24"/>
        </w:rPr>
        <w:t>u</w:t>
      </w:r>
      <w:r w:rsidRPr="004467E3">
        <w:rPr>
          <w:rFonts w:cs="Arial"/>
          <w:spacing w:val="-1"/>
          <w:szCs w:val="24"/>
        </w:rPr>
        <w:t>r</w:t>
      </w:r>
      <w:r w:rsidRPr="004467E3">
        <w:rPr>
          <w:rFonts w:cs="Arial"/>
          <w:szCs w:val="24"/>
        </w:rPr>
        <w:t xml:space="preserve">es </w:t>
      </w:r>
      <w:r w:rsidRPr="004467E3">
        <w:rPr>
          <w:rFonts w:cs="Arial"/>
          <w:spacing w:val="-1"/>
          <w:szCs w:val="24"/>
        </w:rPr>
        <w:t>p</w:t>
      </w:r>
      <w:r w:rsidRPr="004467E3">
        <w:rPr>
          <w:rFonts w:cs="Arial"/>
          <w:szCs w:val="24"/>
        </w:rPr>
        <w:t>ub</w:t>
      </w:r>
      <w:r w:rsidRPr="004467E3">
        <w:rPr>
          <w:rFonts w:cs="Arial"/>
          <w:spacing w:val="-1"/>
          <w:szCs w:val="24"/>
        </w:rPr>
        <w:t>li</w:t>
      </w:r>
      <w:r w:rsidRPr="004467E3">
        <w:rPr>
          <w:rFonts w:cs="Arial"/>
          <w:szCs w:val="24"/>
        </w:rPr>
        <w:t>sh</w:t>
      </w:r>
      <w:r w:rsidRPr="004467E3">
        <w:rPr>
          <w:rFonts w:cs="Arial"/>
          <w:spacing w:val="-2"/>
          <w:szCs w:val="24"/>
        </w:rPr>
        <w:t>e</w:t>
      </w:r>
      <w:r w:rsidRPr="004467E3">
        <w:rPr>
          <w:rFonts w:cs="Arial"/>
          <w:szCs w:val="24"/>
        </w:rPr>
        <w:t>d</w:t>
      </w:r>
      <w:r w:rsidRPr="004467E3">
        <w:rPr>
          <w:rFonts w:cs="Arial"/>
          <w:spacing w:val="2"/>
          <w:szCs w:val="24"/>
        </w:rPr>
        <w:t xml:space="preserve"> </w:t>
      </w:r>
      <w:r w:rsidRPr="004467E3">
        <w:rPr>
          <w:rFonts w:cs="Arial"/>
          <w:spacing w:val="-3"/>
          <w:szCs w:val="24"/>
        </w:rPr>
        <w:t>i</w:t>
      </w:r>
      <w:r w:rsidRPr="004467E3">
        <w:rPr>
          <w:rFonts w:cs="Arial"/>
          <w:szCs w:val="24"/>
        </w:rPr>
        <w:t>n</w:t>
      </w:r>
      <w:r w:rsidRPr="004467E3">
        <w:rPr>
          <w:rFonts w:cs="Arial"/>
          <w:spacing w:val="2"/>
          <w:szCs w:val="24"/>
        </w:rPr>
        <w:t xml:space="preserve"> </w:t>
      </w:r>
      <w:r w:rsidRPr="004467E3">
        <w:rPr>
          <w:rFonts w:cs="Arial"/>
          <w:szCs w:val="24"/>
        </w:rPr>
        <w:t>th</w:t>
      </w:r>
      <w:r w:rsidRPr="004467E3">
        <w:rPr>
          <w:rFonts w:cs="Arial"/>
          <w:spacing w:val="-1"/>
          <w:szCs w:val="24"/>
        </w:rPr>
        <w:t>i</w:t>
      </w:r>
      <w:r w:rsidRPr="004467E3">
        <w:rPr>
          <w:rFonts w:cs="Arial"/>
          <w:szCs w:val="24"/>
        </w:rPr>
        <w:t xml:space="preserve">s </w:t>
      </w:r>
      <w:r w:rsidRPr="004467E3">
        <w:rPr>
          <w:rFonts w:cs="Arial"/>
          <w:spacing w:val="-1"/>
          <w:szCs w:val="24"/>
        </w:rPr>
        <w:t>i</w:t>
      </w:r>
      <w:r w:rsidRPr="004467E3">
        <w:rPr>
          <w:rFonts w:cs="Arial"/>
          <w:szCs w:val="24"/>
        </w:rPr>
        <w:t>ss</w:t>
      </w:r>
      <w:r w:rsidRPr="004467E3">
        <w:rPr>
          <w:rFonts w:cs="Arial"/>
          <w:spacing w:val="-1"/>
          <w:szCs w:val="24"/>
        </w:rPr>
        <w:t>u</w:t>
      </w:r>
      <w:r w:rsidRPr="004467E3">
        <w:rPr>
          <w:rFonts w:cs="Arial"/>
          <w:szCs w:val="24"/>
        </w:rPr>
        <w:t xml:space="preserve">e, </w:t>
      </w:r>
      <w:r w:rsidRPr="004467E3">
        <w:rPr>
          <w:rFonts w:cs="Arial"/>
          <w:spacing w:val="-2"/>
          <w:szCs w:val="24"/>
        </w:rPr>
        <w:t>y</w:t>
      </w:r>
      <w:r w:rsidRPr="004467E3">
        <w:rPr>
          <w:rFonts w:cs="Arial"/>
          <w:szCs w:val="24"/>
        </w:rPr>
        <w:t>ou</w:t>
      </w:r>
      <w:r w:rsidRPr="004467E3">
        <w:rPr>
          <w:rFonts w:cs="Arial"/>
          <w:spacing w:val="-1"/>
          <w:szCs w:val="24"/>
        </w:rPr>
        <w:t xml:space="preserve"> </w:t>
      </w:r>
      <w:r w:rsidRPr="004467E3">
        <w:rPr>
          <w:rFonts w:cs="Arial"/>
          <w:spacing w:val="2"/>
          <w:szCs w:val="24"/>
        </w:rPr>
        <w:t>m</w:t>
      </w:r>
      <w:r w:rsidRPr="004467E3">
        <w:rPr>
          <w:rFonts w:cs="Arial"/>
          <w:szCs w:val="24"/>
        </w:rPr>
        <w:t>ay</w:t>
      </w:r>
      <w:r w:rsidRPr="004467E3">
        <w:rPr>
          <w:rFonts w:cs="Arial"/>
          <w:spacing w:val="-2"/>
          <w:szCs w:val="24"/>
        </w:rPr>
        <w:t xml:space="preserve"> </w:t>
      </w:r>
      <w:r w:rsidRPr="004467E3">
        <w:rPr>
          <w:rFonts w:cs="Arial"/>
          <w:szCs w:val="24"/>
        </w:rPr>
        <w:t>conta</w:t>
      </w:r>
      <w:r w:rsidRPr="004467E3">
        <w:rPr>
          <w:rFonts w:cs="Arial"/>
          <w:spacing w:val="-2"/>
          <w:szCs w:val="24"/>
        </w:rPr>
        <w:t>c</w:t>
      </w:r>
      <w:r w:rsidRPr="004467E3">
        <w:rPr>
          <w:rFonts w:cs="Arial"/>
          <w:szCs w:val="24"/>
        </w:rPr>
        <w:t xml:space="preserve">t </w:t>
      </w:r>
      <w:r>
        <w:rPr>
          <w:rFonts w:cs="Arial"/>
          <w:szCs w:val="24"/>
        </w:rPr>
        <w:t xml:space="preserve">Barry Solomon </w:t>
      </w:r>
      <w:r w:rsidRPr="004467E3">
        <w:rPr>
          <w:rFonts w:cs="Arial"/>
          <w:szCs w:val="24"/>
        </w:rPr>
        <w:t>at t</w:t>
      </w:r>
      <w:r w:rsidRPr="004467E3">
        <w:rPr>
          <w:rFonts w:cs="Arial"/>
          <w:spacing w:val="-1"/>
          <w:szCs w:val="24"/>
        </w:rPr>
        <w:t>h</w:t>
      </w:r>
      <w:r w:rsidRPr="004467E3">
        <w:rPr>
          <w:rFonts w:cs="Arial"/>
          <w:szCs w:val="24"/>
        </w:rPr>
        <w:t>e</w:t>
      </w:r>
      <w:r w:rsidRPr="004467E3">
        <w:rPr>
          <w:rFonts w:cs="Arial"/>
          <w:spacing w:val="2"/>
          <w:szCs w:val="24"/>
        </w:rPr>
        <w:t xml:space="preserve"> </w:t>
      </w:r>
      <w:r w:rsidRPr="004467E3">
        <w:rPr>
          <w:rFonts w:cs="Arial"/>
          <w:szCs w:val="24"/>
        </w:rPr>
        <w:t>e</w:t>
      </w:r>
      <w:r w:rsidRPr="004467E3">
        <w:rPr>
          <w:rFonts w:cs="Arial"/>
          <w:spacing w:val="-3"/>
          <w:szCs w:val="24"/>
        </w:rPr>
        <w:t>-</w:t>
      </w:r>
      <w:r w:rsidRPr="004467E3">
        <w:rPr>
          <w:rFonts w:cs="Arial"/>
          <w:spacing w:val="2"/>
          <w:szCs w:val="24"/>
        </w:rPr>
        <w:t>m</w:t>
      </w:r>
      <w:r w:rsidRPr="004467E3">
        <w:rPr>
          <w:rFonts w:cs="Arial"/>
          <w:szCs w:val="24"/>
        </w:rPr>
        <w:t>ail add</w:t>
      </w:r>
      <w:r w:rsidRPr="004467E3">
        <w:rPr>
          <w:rFonts w:cs="Arial"/>
          <w:spacing w:val="-1"/>
          <w:szCs w:val="24"/>
        </w:rPr>
        <w:t>r</w:t>
      </w:r>
      <w:r w:rsidRPr="004467E3">
        <w:rPr>
          <w:rFonts w:cs="Arial"/>
          <w:szCs w:val="24"/>
        </w:rPr>
        <w:t>ess</w:t>
      </w:r>
      <w:r w:rsidRPr="004467E3">
        <w:rPr>
          <w:rFonts w:cs="Arial"/>
          <w:spacing w:val="-2"/>
          <w:szCs w:val="24"/>
        </w:rPr>
        <w:t xml:space="preserve"> </w:t>
      </w:r>
      <w:r w:rsidRPr="004467E3">
        <w:rPr>
          <w:rFonts w:cs="Arial"/>
          <w:szCs w:val="24"/>
        </w:rPr>
        <w:t>a</w:t>
      </w:r>
      <w:r w:rsidRPr="004467E3">
        <w:rPr>
          <w:rFonts w:cs="Arial"/>
          <w:spacing w:val="-2"/>
          <w:szCs w:val="24"/>
        </w:rPr>
        <w:t>b</w:t>
      </w:r>
      <w:r w:rsidRPr="004467E3">
        <w:rPr>
          <w:rFonts w:cs="Arial"/>
          <w:szCs w:val="24"/>
        </w:rPr>
        <w:t>o</w:t>
      </w:r>
      <w:r w:rsidRPr="004467E3">
        <w:rPr>
          <w:rFonts w:cs="Arial"/>
          <w:spacing w:val="-2"/>
          <w:szCs w:val="24"/>
        </w:rPr>
        <w:t>v</w:t>
      </w:r>
      <w:r w:rsidRPr="004467E3">
        <w:rPr>
          <w:rFonts w:cs="Arial"/>
          <w:szCs w:val="24"/>
        </w:rPr>
        <w:t>e. For</w:t>
      </w:r>
      <w:r w:rsidRPr="004467E3">
        <w:rPr>
          <w:rFonts w:cs="Arial"/>
          <w:spacing w:val="-2"/>
          <w:szCs w:val="24"/>
        </w:rPr>
        <w:t xml:space="preserve"> </w:t>
      </w:r>
      <w:r w:rsidRPr="004467E3">
        <w:rPr>
          <w:rFonts w:cs="Arial"/>
          <w:spacing w:val="3"/>
          <w:szCs w:val="24"/>
        </w:rPr>
        <w:t>f</w:t>
      </w:r>
      <w:r w:rsidRPr="004467E3">
        <w:rPr>
          <w:rFonts w:cs="Arial"/>
          <w:spacing w:val="-1"/>
          <w:szCs w:val="24"/>
        </w:rPr>
        <w:t>u</w:t>
      </w:r>
      <w:r w:rsidRPr="004467E3">
        <w:rPr>
          <w:rFonts w:cs="Arial"/>
          <w:szCs w:val="24"/>
        </w:rPr>
        <w:t>tu</w:t>
      </w:r>
      <w:r w:rsidRPr="004467E3">
        <w:rPr>
          <w:rFonts w:cs="Arial"/>
          <w:spacing w:val="-1"/>
          <w:szCs w:val="24"/>
        </w:rPr>
        <w:t>r</w:t>
      </w:r>
      <w:r w:rsidRPr="004467E3">
        <w:rPr>
          <w:rFonts w:cs="Arial"/>
          <w:szCs w:val="24"/>
        </w:rPr>
        <w:t>e</w:t>
      </w:r>
      <w:r w:rsidRPr="004467E3">
        <w:rPr>
          <w:rFonts w:cs="Arial"/>
          <w:spacing w:val="2"/>
          <w:szCs w:val="24"/>
        </w:rPr>
        <w:t xml:space="preserve"> </w:t>
      </w:r>
      <w:r w:rsidRPr="004467E3">
        <w:rPr>
          <w:rFonts w:cs="Arial"/>
          <w:spacing w:val="-1"/>
          <w:szCs w:val="24"/>
        </w:rPr>
        <w:t>i</w:t>
      </w:r>
      <w:r w:rsidRPr="004467E3">
        <w:rPr>
          <w:rFonts w:cs="Arial"/>
          <w:szCs w:val="24"/>
        </w:rPr>
        <w:t>ssues</w:t>
      </w:r>
      <w:r w:rsidRPr="004467E3">
        <w:rPr>
          <w:rFonts w:cs="Arial"/>
          <w:spacing w:val="-2"/>
          <w:szCs w:val="24"/>
        </w:rPr>
        <w:t xml:space="preserve"> </w:t>
      </w:r>
      <w:r w:rsidRPr="004467E3">
        <w:rPr>
          <w:rFonts w:cs="Arial"/>
          <w:szCs w:val="24"/>
        </w:rPr>
        <w:t>p</w:t>
      </w:r>
      <w:r w:rsidRPr="004467E3">
        <w:rPr>
          <w:rFonts w:cs="Arial"/>
          <w:spacing w:val="-1"/>
          <w:szCs w:val="24"/>
        </w:rPr>
        <w:t>le</w:t>
      </w:r>
      <w:r w:rsidRPr="004467E3">
        <w:rPr>
          <w:rFonts w:cs="Arial"/>
          <w:szCs w:val="24"/>
        </w:rPr>
        <w:t>ase</w:t>
      </w:r>
      <w:r w:rsidRPr="004467E3">
        <w:rPr>
          <w:rFonts w:cs="Arial"/>
          <w:spacing w:val="2"/>
          <w:szCs w:val="24"/>
        </w:rPr>
        <w:t xml:space="preserve"> </w:t>
      </w:r>
      <w:r w:rsidRPr="004467E3">
        <w:rPr>
          <w:rFonts w:cs="Arial"/>
          <w:spacing w:val="-2"/>
          <w:szCs w:val="24"/>
        </w:rPr>
        <w:t>c</w:t>
      </w:r>
      <w:r w:rsidRPr="004467E3">
        <w:rPr>
          <w:rFonts w:cs="Arial"/>
          <w:szCs w:val="24"/>
        </w:rPr>
        <w:t>on</w:t>
      </w:r>
      <w:r w:rsidRPr="004467E3">
        <w:rPr>
          <w:rFonts w:cs="Arial"/>
          <w:spacing w:val="-2"/>
          <w:szCs w:val="24"/>
        </w:rPr>
        <w:t>t</w:t>
      </w:r>
      <w:r w:rsidRPr="004467E3">
        <w:rPr>
          <w:rFonts w:cs="Arial"/>
          <w:szCs w:val="24"/>
        </w:rPr>
        <w:t>act t</w:t>
      </w:r>
      <w:r w:rsidRPr="004467E3">
        <w:rPr>
          <w:rFonts w:cs="Arial"/>
          <w:spacing w:val="-1"/>
          <w:szCs w:val="24"/>
        </w:rPr>
        <w:t>h</w:t>
      </w:r>
      <w:r w:rsidRPr="004467E3">
        <w:rPr>
          <w:rFonts w:cs="Arial"/>
          <w:szCs w:val="24"/>
        </w:rPr>
        <w:t>e</w:t>
      </w:r>
      <w:r w:rsidRPr="004467E3">
        <w:rPr>
          <w:rFonts w:cs="Arial"/>
          <w:spacing w:val="2"/>
          <w:szCs w:val="24"/>
        </w:rPr>
        <w:t xml:space="preserve"> </w:t>
      </w:r>
      <w:r w:rsidRPr="004467E3">
        <w:rPr>
          <w:rFonts w:cs="Arial"/>
          <w:szCs w:val="24"/>
        </w:rPr>
        <w:t>S</w:t>
      </w:r>
      <w:r w:rsidRPr="004467E3">
        <w:rPr>
          <w:rFonts w:cs="Arial"/>
          <w:spacing w:val="-3"/>
          <w:szCs w:val="24"/>
        </w:rPr>
        <w:t>i</w:t>
      </w:r>
      <w:r w:rsidRPr="004467E3">
        <w:rPr>
          <w:rFonts w:cs="Arial"/>
          <w:spacing w:val="2"/>
          <w:szCs w:val="24"/>
        </w:rPr>
        <w:t>m</w:t>
      </w:r>
      <w:r w:rsidRPr="004467E3">
        <w:rPr>
          <w:rFonts w:cs="Arial"/>
          <w:szCs w:val="24"/>
        </w:rPr>
        <w:t>p</w:t>
      </w:r>
      <w:r w:rsidRPr="004467E3">
        <w:rPr>
          <w:rFonts w:cs="Arial"/>
          <w:spacing w:val="-1"/>
          <w:szCs w:val="24"/>
        </w:rPr>
        <w:t>l</w:t>
      </w:r>
      <w:r w:rsidRPr="004467E3">
        <w:rPr>
          <w:rFonts w:cs="Arial"/>
          <w:spacing w:val="-3"/>
          <w:szCs w:val="24"/>
        </w:rPr>
        <w:t>i</w:t>
      </w:r>
      <w:r w:rsidRPr="004467E3">
        <w:rPr>
          <w:rFonts w:cs="Arial"/>
          <w:spacing w:val="3"/>
          <w:szCs w:val="24"/>
        </w:rPr>
        <w:t>f</w:t>
      </w:r>
      <w:r w:rsidRPr="004467E3">
        <w:rPr>
          <w:rFonts w:cs="Arial"/>
          <w:spacing w:val="-1"/>
          <w:szCs w:val="24"/>
        </w:rPr>
        <w:t>i</w:t>
      </w:r>
      <w:r w:rsidRPr="004467E3">
        <w:rPr>
          <w:rFonts w:cs="Arial"/>
          <w:szCs w:val="24"/>
        </w:rPr>
        <w:t>ed</w:t>
      </w:r>
      <w:r w:rsidRPr="004467E3">
        <w:rPr>
          <w:rFonts w:cs="Arial"/>
          <w:spacing w:val="-1"/>
          <w:szCs w:val="24"/>
        </w:rPr>
        <w:t xml:space="preserve"> </w:t>
      </w:r>
      <w:r w:rsidRPr="004467E3">
        <w:rPr>
          <w:rFonts w:cs="Arial"/>
          <w:szCs w:val="24"/>
        </w:rPr>
        <w:t>Ac</w:t>
      </w:r>
      <w:r w:rsidRPr="004467E3">
        <w:rPr>
          <w:rFonts w:cs="Arial"/>
          <w:spacing w:val="-1"/>
          <w:szCs w:val="24"/>
        </w:rPr>
        <w:t>qui</w:t>
      </w:r>
      <w:r w:rsidRPr="004467E3">
        <w:rPr>
          <w:rFonts w:cs="Arial"/>
          <w:szCs w:val="24"/>
        </w:rPr>
        <w:t>s</w:t>
      </w:r>
      <w:r w:rsidRPr="004467E3">
        <w:rPr>
          <w:rFonts w:cs="Arial"/>
          <w:spacing w:val="-1"/>
          <w:szCs w:val="24"/>
        </w:rPr>
        <w:t>i</w:t>
      </w:r>
      <w:r w:rsidRPr="004467E3">
        <w:rPr>
          <w:rFonts w:cs="Arial"/>
          <w:szCs w:val="24"/>
        </w:rPr>
        <w:t>t</w:t>
      </w:r>
      <w:r w:rsidRPr="004467E3">
        <w:rPr>
          <w:rFonts w:cs="Arial"/>
          <w:spacing w:val="-1"/>
          <w:szCs w:val="24"/>
        </w:rPr>
        <w:t>i</w:t>
      </w:r>
      <w:r w:rsidRPr="004467E3">
        <w:rPr>
          <w:rFonts w:cs="Arial"/>
          <w:szCs w:val="24"/>
        </w:rPr>
        <w:t xml:space="preserve">ons </w:t>
      </w:r>
      <w:r w:rsidRPr="004467E3">
        <w:rPr>
          <w:rFonts w:cs="Arial"/>
          <w:spacing w:val="-1"/>
          <w:szCs w:val="24"/>
        </w:rPr>
        <w:t>H</w:t>
      </w:r>
      <w:r w:rsidRPr="004467E3">
        <w:rPr>
          <w:rFonts w:cs="Arial"/>
          <w:szCs w:val="24"/>
        </w:rPr>
        <w:t>e</w:t>
      </w:r>
      <w:r w:rsidRPr="004467E3">
        <w:rPr>
          <w:rFonts w:cs="Arial"/>
          <w:spacing w:val="-1"/>
          <w:szCs w:val="24"/>
        </w:rPr>
        <w:t>l</w:t>
      </w:r>
      <w:r w:rsidRPr="004467E3">
        <w:rPr>
          <w:rFonts w:cs="Arial"/>
          <w:szCs w:val="24"/>
        </w:rPr>
        <w:t>p</w:t>
      </w:r>
      <w:r w:rsidRPr="004467E3">
        <w:rPr>
          <w:rFonts w:cs="Arial"/>
          <w:spacing w:val="-1"/>
          <w:szCs w:val="24"/>
        </w:rPr>
        <w:t>li</w:t>
      </w:r>
      <w:r w:rsidRPr="004467E3">
        <w:rPr>
          <w:rFonts w:cs="Arial"/>
          <w:szCs w:val="24"/>
        </w:rPr>
        <w:t>ne</w:t>
      </w:r>
      <w:r w:rsidRPr="004467E3">
        <w:rPr>
          <w:rFonts w:cs="Arial"/>
          <w:spacing w:val="-1"/>
          <w:szCs w:val="24"/>
        </w:rPr>
        <w:t xml:space="preserve"> </w:t>
      </w:r>
      <w:r w:rsidRPr="004467E3">
        <w:rPr>
          <w:rFonts w:cs="Arial"/>
          <w:szCs w:val="24"/>
        </w:rPr>
        <w:t>on 301</w:t>
      </w:r>
      <w:r w:rsidRPr="004467E3">
        <w:rPr>
          <w:rFonts w:cs="Arial"/>
          <w:spacing w:val="-1"/>
          <w:szCs w:val="24"/>
        </w:rPr>
        <w:t>-4</w:t>
      </w:r>
      <w:r w:rsidRPr="004467E3">
        <w:rPr>
          <w:rFonts w:cs="Arial"/>
          <w:szCs w:val="24"/>
        </w:rPr>
        <w:t>96</w:t>
      </w:r>
      <w:r w:rsidRPr="004467E3">
        <w:rPr>
          <w:rFonts w:cs="Arial"/>
          <w:spacing w:val="-1"/>
          <w:szCs w:val="24"/>
        </w:rPr>
        <w:t>-</w:t>
      </w:r>
      <w:r w:rsidRPr="004467E3">
        <w:rPr>
          <w:rFonts w:cs="Arial"/>
          <w:szCs w:val="24"/>
        </w:rPr>
        <w:t>0</w:t>
      </w:r>
      <w:r w:rsidRPr="004467E3">
        <w:rPr>
          <w:rFonts w:cs="Arial"/>
          <w:spacing w:val="-2"/>
          <w:szCs w:val="24"/>
        </w:rPr>
        <w:t>4</w:t>
      </w:r>
      <w:r w:rsidRPr="004467E3">
        <w:rPr>
          <w:rFonts w:cs="Arial"/>
          <w:szCs w:val="24"/>
        </w:rPr>
        <w:t>00</w:t>
      </w:r>
      <w:r w:rsidRPr="004467E3">
        <w:rPr>
          <w:rFonts w:cs="Arial"/>
          <w:spacing w:val="-1"/>
          <w:szCs w:val="24"/>
        </w:rPr>
        <w:t xml:space="preserve"> </w:t>
      </w:r>
      <w:r w:rsidRPr="004467E3">
        <w:rPr>
          <w:rFonts w:cs="Arial"/>
          <w:szCs w:val="24"/>
        </w:rPr>
        <w:t xml:space="preserve">or </w:t>
      </w:r>
      <w:r w:rsidRPr="004467E3">
        <w:rPr>
          <w:rFonts w:cs="Arial"/>
          <w:spacing w:val="-2"/>
          <w:szCs w:val="24"/>
        </w:rPr>
        <w:t>v</w:t>
      </w:r>
      <w:r w:rsidRPr="004467E3">
        <w:rPr>
          <w:rFonts w:cs="Arial"/>
          <w:spacing w:val="-1"/>
          <w:szCs w:val="24"/>
        </w:rPr>
        <w:t>i</w:t>
      </w:r>
      <w:r w:rsidRPr="004467E3">
        <w:rPr>
          <w:rFonts w:cs="Arial"/>
          <w:szCs w:val="24"/>
        </w:rPr>
        <w:t>a</w:t>
      </w:r>
      <w:r w:rsidRPr="004467E3">
        <w:rPr>
          <w:rFonts w:cs="Arial"/>
          <w:spacing w:val="2"/>
          <w:szCs w:val="24"/>
        </w:rPr>
        <w:t xml:space="preserve"> </w:t>
      </w:r>
      <w:r w:rsidRPr="004467E3">
        <w:rPr>
          <w:rFonts w:cs="Arial"/>
          <w:szCs w:val="24"/>
        </w:rPr>
        <w:t>e</w:t>
      </w:r>
      <w:r w:rsidRPr="004467E3">
        <w:rPr>
          <w:rFonts w:cs="Arial"/>
          <w:spacing w:val="-1"/>
          <w:szCs w:val="24"/>
        </w:rPr>
        <w:t>-</w:t>
      </w:r>
      <w:r w:rsidRPr="004467E3">
        <w:rPr>
          <w:rFonts w:cs="Arial"/>
          <w:spacing w:val="2"/>
          <w:szCs w:val="24"/>
        </w:rPr>
        <w:t>m</w:t>
      </w:r>
      <w:r w:rsidRPr="004467E3">
        <w:rPr>
          <w:rFonts w:cs="Arial"/>
          <w:szCs w:val="24"/>
        </w:rPr>
        <w:t xml:space="preserve">ail at </w:t>
      </w:r>
      <w:hyperlink r:id="rId32" w:tooltip="OALMnewsletter@mail.nih.gov" w:history="1">
        <w:r>
          <w:rPr>
            <w:rStyle w:val="Hyperlink"/>
            <w:rFonts w:cs="Arial"/>
            <w:szCs w:val="24"/>
          </w:rPr>
          <w:t>OALMnewsletter@mail.nih.gov</w:t>
        </w:r>
      </w:hyperlink>
      <w:hyperlink>
        <w:r>
          <w:rPr>
            <w:rFonts w:cs="Arial"/>
            <w:color w:val="000000"/>
            <w:szCs w:val="24"/>
          </w:rPr>
          <w:t xml:space="preserve"> a</w:t>
        </w:r>
        <w:r w:rsidRPr="004467E3">
          <w:rPr>
            <w:rFonts w:cs="Arial"/>
            <w:color w:val="000000"/>
            <w:szCs w:val="24"/>
          </w:rPr>
          <w:t>nd</w:t>
        </w:r>
        <w:r w:rsidRPr="004467E3">
          <w:rPr>
            <w:rFonts w:cs="Arial"/>
            <w:color w:val="000000"/>
            <w:spacing w:val="-1"/>
            <w:szCs w:val="24"/>
          </w:rPr>
          <w:t xml:space="preserve"> </w:t>
        </w:r>
        <w:r w:rsidRPr="004467E3">
          <w:rPr>
            <w:rFonts w:cs="Arial"/>
            <w:color w:val="000000"/>
            <w:spacing w:val="-2"/>
            <w:szCs w:val="24"/>
          </w:rPr>
          <w:t>y</w:t>
        </w:r>
        <w:r w:rsidRPr="004467E3">
          <w:rPr>
            <w:rFonts w:cs="Arial"/>
            <w:color w:val="000000"/>
            <w:szCs w:val="24"/>
          </w:rPr>
          <w:t>ou</w:t>
        </w:r>
        <w:r w:rsidRPr="004467E3">
          <w:rPr>
            <w:rFonts w:cs="Arial"/>
            <w:color w:val="000000"/>
            <w:spacing w:val="2"/>
            <w:szCs w:val="24"/>
          </w:rPr>
          <w:t xml:space="preserve"> </w:t>
        </w:r>
        <w:r w:rsidRPr="004467E3">
          <w:rPr>
            <w:rFonts w:cs="Arial"/>
            <w:color w:val="000000"/>
            <w:spacing w:val="-3"/>
            <w:szCs w:val="24"/>
          </w:rPr>
          <w:t>w</w:t>
        </w:r>
        <w:r w:rsidRPr="004467E3">
          <w:rPr>
            <w:rFonts w:cs="Arial"/>
            <w:color w:val="000000"/>
            <w:spacing w:val="-1"/>
            <w:szCs w:val="24"/>
          </w:rPr>
          <w:t>il</w:t>
        </w:r>
        <w:r w:rsidRPr="004467E3">
          <w:rPr>
            <w:rFonts w:cs="Arial"/>
            <w:color w:val="000000"/>
            <w:szCs w:val="24"/>
          </w:rPr>
          <w:t xml:space="preserve">l be </w:t>
        </w:r>
        <w:r w:rsidRPr="004467E3">
          <w:rPr>
            <w:rFonts w:cs="Arial"/>
            <w:color w:val="000000"/>
            <w:spacing w:val="-1"/>
            <w:szCs w:val="24"/>
          </w:rPr>
          <w:t>r</w:t>
        </w:r>
        <w:r w:rsidRPr="004467E3">
          <w:rPr>
            <w:rFonts w:cs="Arial"/>
            <w:color w:val="000000"/>
            <w:szCs w:val="24"/>
          </w:rPr>
          <w:t>efe</w:t>
        </w:r>
        <w:r w:rsidRPr="004467E3">
          <w:rPr>
            <w:rFonts w:cs="Arial"/>
            <w:color w:val="000000"/>
            <w:spacing w:val="-1"/>
            <w:szCs w:val="24"/>
          </w:rPr>
          <w:t>rr</w:t>
        </w:r>
        <w:r w:rsidRPr="004467E3">
          <w:rPr>
            <w:rFonts w:cs="Arial"/>
            <w:color w:val="000000"/>
            <w:szCs w:val="24"/>
          </w:rPr>
          <w:t>ed</w:t>
        </w:r>
        <w:r w:rsidRPr="004467E3">
          <w:rPr>
            <w:rFonts w:cs="Arial"/>
            <w:color w:val="000000"/>
            <w:spacing w:val="2"/>
            <w:szCs w:val="24"/>
          </w:rPr>
          <w:t xml:space="preserve"> </w:t>
        </w:r>
        <w:r w:rsidRPr="004467E3">
          <w:rPr>
            <w:rFonts w:cs="Arial"/>
            <w:color w:val="000000"/>
            <w:spacing w:val="-2"/>
            <w:szCs w:val="24"/>
          </w:rPr>
          <w:t>t</w:t>
        </w:r>
        <w:r w:rsidRPr="004467E3">
          <w:rPr>
            <w:rFonts w:cs="Arial"/>
            <w:color w:val="000000"/>
            <w:szCs w:val="24"/>
          </w:rPr>
          <w:t>o</w:t>
        </w:r>
        <w:r w:rsidRPr="004467E3">
          <w:rPr>
            <w:rFonts w:cs="Arial"/>
            <w:color w:val="000000"/>
            <w:spacing w:val="2"/>
            <w:szCs w:val="24"/>
          </w:rPr>
          <w:t xml:space="preserve"> </w:t>
        </w:r>
        <w:r w:rsidRPr="004467E3">
          <w:rPr>
            <w:rFonts w:cs="Arial"/>
            <w:color w:val="000000"/>
            <w:szCs w:val="24"/>
          </w:rPr>
          <w:t>t</w:t>
        </w:r>
        <w:r w:rsidRPr="004467E3">
          <w:rPr>
            <w:rFonts w:cs="Arial"/>
            <w:color w:val="000000"/>
            <w:spacing w:val="-1"/>
            <w:szCs w:val="24"/>
          </w:rPr>
          <w:t>h</w:t>
        </w:r>
        <w:r w:rsidRPr="004467E3">
          <w:rPr>
            <w:rFonts w:cs="Arial"/>
            <w:color w:val="000000"/>
            <w:szCs w:val="24"/>
          </w:rPr>
          <w:t>e</w:t>
        </w:r>
        <w:r w:rsidRPr="004467E3">
          <w:rPr>
            <w:rFonts w:cs="Arial"/>
            <w:color w:val="000000"/>
            <w:spacing w:val="2"/>
            <w:szCs w:val="24"/>
          </w:rPr>
          <w:t xml:space="preserve"> </w:t>
        </w:r>
        <w:r w:rsidRPr="004467E3">
          <w:rPr>
            <w:rFonts w:cs="Arial"/>
            <w:color w:val="000000"/>
            <w:spacing w:val="-1"/>
            <w:szCs w:val="24"/>
          </w:rPr>
          <w:t>a</w:t>
        </w:r>
        <w:r w:rsidRPr="004467E3">
          <w:rPr>
            <w:rFonts w:cs="Arial"/>
            <w:color w:val="000000"/>
            <w:szCs w:val="24"/>
          </w:rPr>
          <w:t>pp</w:t>
        </w:r>
        <w:r w:rsidRPr="004467E3">
          <w:rPr>
            <w:rFonts w:cs="Arial"/>
            <w:color w:val="000000"/>
            <w:spacing w:val="-1"/>
            <w:szCs w:val="24"/>
          </w:rPr>
          <w:t>ro</w:t>
        </w:r>
        <w:r w:rsidRPr="004467E3">
          <w:rPr>
            <w:rFonts w:cs="Arial"/>
            <w:color w:val="000000"/>
            <w:szCs w:val="24"/>
          </w:rPr>
          <w:t>p</w:t>
        </w:r>
        <w:r w:rsidRPr="004467E3">
          <w:rPr>
            <w:rFonts w:cs="Arial"/>
            <w:color w:val="000000"/>
            <w:spacing w:val="-1"/>
            <w:szCs w:val="24"/>
          </w:rPr>
          <w:t>ri</w:t>
        </w:r>
        <w:r w:rsidRPr="004467E3">
          <w:rPr>
            <w:rFonts w:cs="Arial"/>
            <w:color w:val="000000"/>
            <w:szCs w:val="24"/>
          </w:rPr>
          <w:t>ate</w:t>
        </w:r>
        <w:r w:rsidRPr="004467E3">
          <w:rPr>
            <w:rFonts w:cs="Arial"/>
            <w:color w:val="000000"/>
            <w:spacing w:val="-1"/>
            <w:szCs w:val="24"/>
          </w:rPr>
          <w:t xml:space="preserve"> </w:t>
        </w:r>
        <w:r w:rsidRPr="004467E3">
          <w:rPr>
            <w:rFonts w:cs="Arial"/>
            <w:color w:val="000000"/>
            <w:szCs w:val="24"/>
          </w:rPr>
          <w:t>ed</w:t>
        </w:r>
        <w:r w:rsidRPr="004467E3">
          <w:rPr>
            <w:rFonts w:cs="Arial"/>
            <w:color w:val="000000"/>
            <w:spacing w:val="-1"/>
            <w:szCs w:val="24"/>
          </w:rPr>
          <w:t>i</w:t>
        </w:r>
        <w:r w:rsidRPr="004467E3">
          <w:rPr>
            <w:rFonts w:cs="Arial"/>
            <w:color w:val="000000"/>
            <w:szCs w:val="24"/>
          </w:rPr>
          <w:t>to</w:t>
        </w:r>
        <w:r w:rsidRPr="004467E3">
          <w:rPr>
            <w:rFonts w:cs="Arial"/>
            <w:color w:val="000000"/>
            <w:spacing w:val="-1"/>
            <w:szCs w:val="24"/>
          </w:rPr>
          <w:t>r</w:t>
        </w:r>
        <w:r w:rsidRPr="004467E3">
          <w:rPr>
            <w:rFonts w:cs="Arial"/>
            <w:color w:val="000000"/>
            <w:szCs w:val="24"/>
          </w:rPr>
          <w:t>.</w:t>
        </w:r>
      </w:hyperlink>
    </w:p>
    <w:sectPr w:rsidR="00B95576" w:rsidRPr="00B95576" w:rsidSect="009D4F9E">
      <w:headerReference w:type="default" r:id="rId3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4B35" w:rsidRDefault="009B4B35" w:rsidP="00637C61">
      <w:pPr>
        <w:spacing w:after="0" w:line="240" w:lineRule="auto"/>
      </w:pPr>
      <w:r>
        <w:separator/>
      </w:r>
    </w:p>
  </w:endnote>
  <w:endnote w:type="continuationSeparator" w:id="0">
    <w:p w:rsidR="009B4B35" w:rsidRDefault="009B4B35" w:rsidP="0063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4B35" w:rsidRDefault="009B4B35" w:rsidP="00637C61">
      <w:pPr>
        <w:spacing w:after="0" w:line="240" w:lineRule="auto"/>
      </w:pPr>
      <w:r>
        <w:separator/>
      </w:r>
    </w:p>
  </w:footnote>
  <w:footnote w:type="continuationSeparator" w:id="0">
    <w:p w:rsidR="009B4B35" w:rsidRDefault="009B4B35" w:rsidP="0063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4F9E" w:rsidRDefault="009D4F9E">
    <w:pPr>
      <w:pStyle w:val="Header"/>
    </w:pPr>
  </w:p>
  <w:p w:rsidR="00637C61" w:rsidRDefault="00637C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665B1B"/>
    <w:multiLevelType w:val="hybridMultilevel"/>
    <w:tmpl w:val="E084D6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6A6A26BC"/>
    <w:multiLevelType w:val="hybridMultilevel"/>
    <w:tmpl w:val="26AE36F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576"/>
    <w:rsid w:val="000555C5"/>
    <w:rsid w:val="00062748"/>
    <w:rsid w:val="00070DB1"/>
    <w:rsid w:val="000D5D39"/>
    <w:rsid w:val="001310C7"/>
    <w:rsid w:val="00181088"/>
    <w:rsid w:val="001D0F40"/>
    <w:rsid w:val="00202860"/>
    <w:rsid w:val="00206095"/>
    <w:rsid w:val="0026352A"/>
    <w:rsid w:val="002C6422"/>
    <w:rsid w:val="00327A2B"/>
    <w:rsid w:val="003D12E9"/>
    <w:rsid w:val="004E06BE"/>
    <w:rsid w:val="00600D2A"/>
    <w:rsid w:val="00637C61"/>
    <w:rsid w:val="00670D93"/>
    <w:rsid w:val="006C70FE"/>
    <w:rsid w:val="0085183D"/>
    <w:rsid w:val="008F1C14"/>
    <w:rsid w:val="008F3827"/>
    <w:rsid w:val="008F4CB2"/>
    <w:rsid w:val="00917FB3"/>
    <w:rsid w:val="00963ED8"/>
    <w:rsid w:val="00980755"/>
    <w:rsid w:val="009B4B35"/>
    <w:rsid w:val="009D4F9E"/>
    <w:rsid w:val="009D6D1E"/>
    <w:rsid w:val="009F28CD"/>
    <w:rsid w:val="00A77C7B"/>
    <w:rsid w:val="00AA0828"/>
    <w:rsid w:val="00AD2F0A"/>
    <w:rsid w:val="00B52E8E"/>
    <w:rsid w:val="00B6323C"/>
    <w:rsid w:val="00B95576"/>
    <w:rsid w:val="00CA4A0B"/>
    <w:rsid w:val="00D3597F"/>
    <w:rsid w:val="00D40C64"/>
    <w:rsid w:val="00D56082"/>
    <w:rsid w:val="00DA3520"/>
    <w:rsid w:val="00F74A27"/>
    <w:rsid w:val="00F936E1"/>
    <w:rsid w:val="00FD7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FF4CD"/>
  <w15:chartTrackingRefBased/>
  <w15:docId w15:val="{96810D5E-A974-4E80-8DD9-34904A7D0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7A2B"/>
    <w:pPr>
      <w:spacing w:line="256" w:lineRule="auto"/>
    </w:pPr>
    <w:rPr>
      <w:rFonts w:ascii="Times New Roman" w:hAnsi="Times New Roman"/>
      <w:sz w:val="24"/>
    </w:rPr>
  </w:style>
  <w:style w:type="paragraph" w:styleId="Heading1">
    <w:name w:val="heading 1"/>
    <w:basedOn w:val="Normal"/>
    <w:next w:val="Normal"/>
    <w:link w:val="Heading1Char"/>
    <w:uiPriority w:val="9"/>
    <w:qFormat/>
    <w:rsid w:val="00327A2B"/>
    <w:pPr>
      <w:keepNext/>
      <w:keepLines/>
      <w:spacing w:before="480" w:after="240" w:line="240" w:lineRule="auto"/>
      <w:outlineLvl w:val="0"/>
    </w:pPr>
    <w:rPr>
      <w:rFonts w:asciiTheme="majorHAnsi" w:eastAsiaTheme="majorEastAsia" w:hAnsiTheme="majorHAnsi" w:cstheme="majorBidi"/>
      <w:b/>
      <w:bCs/>
      <w:sz w:val="32"/>
      <w:szCs w:val="32"/>
    </w:rPr>
  </w:style>
  <w:style w:type="paragraph" w:styleId="Heading2">
    <w:name w:val="heading 2"/>
    <w:basedOn w:val="Normal"/>
    <w:next w:val="Normal"/>
    <w:link w:val="Heading2Char"/>
    <w:uiPriority w:val="9"/>
    <w:unhideWhenUsed/>
    <w:qFormat/>
    <w:rsid w:val="000555C5"/>
    <w:pPr>
      <w:keepNext/>
      <w:keepLines/>
      <w:spacing w:before="40" w:after="0" w:line="259"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5576"/>
    <w:rPr>
      <w:color w:val="0563C1" w:themeColor="hyperlink"/>
      <w:u w:val="single"/>
    </w:rPr>
  </w:style>
  <w:style w:type="paragraph" w:styleId="ListParagraph">
    <w:name w:val="List Paragraph"/>
    <w:basedOn w:val="Normal"/>
    <w:uiPriority w:val="34"/>
    <w:qFormat/>
    <w:rsid w:val="00B95576"/>
    <w:pPr>
      <w:ind w:left="720"/>
      <w:contextualSpacing/>
    </w:pPr>
  </w:style>
  <w:style w:type="character" w:customStyle="1" w:styleId="Heading1Char">
    <w:name w:val="Heading 1 Char"/>
    <w:basedOn w:val="DefaultParagraphFont"/>
    <w:link w:val="Heading1"/>
    <w:uiPriority w:val="9"/>
    <w:rsid w:val="00327A2B"/>
    <w:rPr>
      <w:rFonts w:asciiTheme="majorHAnsi" w:eastAsiaTheme="majorEastAsia" w:hAnsiTheme="majorHAnsi" w:cstheme="majorBidi"/>
      <w:b/>
      <w:bCs/>
      <w:sz w:val="32"/>
      <w:szCs w:val="32"/>
    </w:rPr>
  </w:style>
  <w:style w:type="character" w:styleId="UnresolvedMention">
    <w:name w:val="Unresolved Mention"/>
    <w:basedOn w:val="DefaultParagraphFont"/>
    <w:uiPriority w:val="99"/>
    <w:semiHidden/>
    <w:unhideWhenUsed/>
    <w:rsid w:val="00B95576"/>
    <w:rPr>
      <w:color w:val="605E5C"/>
      <w:shd w:val="clear" w:color="auto" w:fill="E1DFDD"/>
    </w:rPr>
  </w:style>
  <w:style w:type="paragraph" w:customStyle="1" w:styleId="Default">
    <w:name w:val="Default"/>
    <w:rsid w:val="00B95576"/>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327A2B"/>
    <w:pPr>
      <w:spacing w:after="0" w:line="240" w:lineRule="auto"/>
    </w:pPr>
    <w:rPr>
      <w:rFonts w:ascii="Times New Roman" w:hAnsi="Times New Roman"/>
      <w:sz w:val="24"/>
    </w:rPr>
  </w:style>
  <w:style w:type="paragraph" w:styleId="NormalWeb">
    <w:name w:val="Normal (Web)"/>
    <w:basedOn w:val="Normal"/>
    <w:uiPriority w:val="99"/>
    <w:semiHidden/>
    <w:unhideWhenUsed/>
    <w:rsid w:val="00637C61"/>
    <w:pPr>
      <w:spacing w:before="100" w:beforeAutospacing="1" w:after="100" w:afterAutospacing="1" w:line="240" w:lineRule="auto"/>
    </w:pPr>
    <w:rPr>
      <w:rFonts w:ascii="Calibri" w:hAnsi="Calibri" w:cs="Calibri"/>
    </w:rPr>
  </w:style>
  <w:style w:type="paragraph" w:styleId="Header">
    <w:name w:val="header"/>
    <w:basedOn w:val="Normal"/>
    <w:link w:val="HeaderChar"/>
    <w:uiPriority w:val="99"/>
    <w:unhideWhenUsed/>
    <w:rsid w:val="00637C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7C61"/>
  </w:style>
  <w:style w:type="paragraph" w:styleId="Footer">
    <w:name w:val="footer"/>
    <w:basedOn w:val="Normal"/>
    <w:link w:val="FooterChar"/>
    <w:uiPriority w:val="99"/>
    <w:unhideWhenUsed/>
    <w:rsid w:val="00637C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7C61"/>
  </w:style>
  <w:style w:type="character" w:customStyle="1" w:styleId="Heading2Char">
    <w:name w:val="Heading 2 Char"/>
    <w:basedOn w:val="DefaultParagraphFont"/>
    <w:link w:val="Heading2"/>
    <w:uiPriority w:val="9"/>
    <w:rsid w:val="000555C5"/>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0555C5"/>
    <w:rPr>
      <w:b/>
      <w:bCs/>
    </w:rPr>
  </w:style>
  <w:style w:type="paragraph" w:styleId="BalloonText">
    <w:name w:val="Balloon Text"/>
    <w:basedOn w:val="Normal"/>
    <w:link w:val="BalloonTextChar"/>
    <w:uiPriority w:val="99"/>
    <w:semiHidden/>
    <w:unhideWhenUsed/>
    <w:rsid w:val="009D4F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4F9E"/>
    <w:rPr>
      <w:rFonts w:ascii="Segoe UI" w:hAnsi="Segoe UI" w:cs="Segoe UI"/>
      <w:sz w:val="18"/>
      <w:szCs w:val="18"/>
    </w:rPr>
  </w:style>
  <w:style w:type="character" w:styleId="FollowedHyperlink">
    <w:name w:val="FollowedHyperlink"/>
    <w:basedOn w:val="DefaultParagraphFont"/>
    <w:uiPriority w:val="99"/>
    <w:semiHidden/>
    <w:unhideWhenUsed/>
    <w:rsid w:val="009D4F9E"/>
    <w:rPr>
      <w:color w:val="954F72" w:themeColor="followedHyperlink"/>
      <w:u w:val="single"/>
    </w:rPr>
  </w:style>
  <w:style w:type="character" w:styleId="CommentReference">
    <w:name w:val="annotation reference"/>
    <w:basedOn w:val="DefaultParagraphFont"/>
    <w:uiPriority w:val="99"/>
    <w:semiHidden/>
    <w:unhideWhenUsed/>
    <w:rsid w:val="00F74A27"/>
    <w:rPr>
      <w:sz w:val="16"/>
      <w:szCs w:val="16"/>
    </w:rPr>
  </w:style>
  <w:style w:type="paragraph" w:styleId="CommentText">
    <w:name w:val="annotation text"/>
    <w:basedOn w:val="Normal"/>
    <w:link w:val="CommentTextChar"/>
    <w:uiPriority w:val="99"/>
    <w:semiHidden/>
    <w:unhideWhenUsed/>
    <w:rsid w:val="00F74A27"/>
    <w:pPr>
      <w:spacing w:line="240" w:lineRule="auto"/>
    </w:pPr>
    <w:rPr>
      <w:sz w:val="20"/>
      <w:szCs w:val="20"/>
    </w:rPr>
  </w:style>
  <w:style w:type="character" w:customStyle="1" w:styleId="CommentTextChar">
    <w:name w:val="Comment Text Char"/>
    <w:basedOn w:val="DefaultParagraphFont"/>
    <w:link w:val="CommentText"/>
    <w:uiPriority w:val="99"/>
    <w:semiHidden/>
    <w:rsid w:val="00F74A27"/>
    <w:rPr>
      <w:sz w:val="20"/>
      <w:szCs w:val="20"/>
    </w:rPr>
  </w:style>
  <w:style w:type="paragraph" w:styleId="CommentSubject">
    <w:name w:val="annotation subject"/>
    <w:basedOn w:val="CommentText"/>
    <w:next w:val="CommentText"/>
    <w:link w:val="CommentSubjectChar"/>
    <w:uiPriority w:val="99"/>
    <w:semiHidden/>
    <w:unhideWhenUsed/>
    <w:rsid w:val="00F74A27"/>
    <w:rPr>
      <w:b/>
      <w:bCs/>
    </w:rPr>
  </w:style>
  <w:style w:type="character" w:customStyle="1" w:styleId="CommentSubjectChar">
    <w:name w:val="Comment Subject Char"/>
    <w:basedOn w:val="CommentTextChar"/>
    <w:link w:val="CommentSubject"/>
    <w:uiPriority w:val="99"/>
    <w:semiHidden/>
    <w:rsid w:val="00F74A27"/>
    <w:rPr>
      <w:b/>
      <w:bCs/>
      <w:sz w:val="20"/>
      <w:szCs w:val="20"/>
    </w:rPr>
  </w:style>
  <w:style w:type="table" w:styleId="GridTable1Light">
    <w:name w:val="Grid Table 1 Light"/>
    <w:basedOn w:val="TableNormal"/>
    <w:uiPriority w:val="46"/>
    <w:rsid w:val="00DA352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itle">
    <w:name w:val="Title"/>
    <w:basedOn w:val="Normal"/>
    <w:next w:val="Normal"/>
    <w:link w:val="TitleChar"/>
    <w:uiPriority w:val="10"/>
    <w:qFormat/>
    <w:rsid w:val="00327A2B"/>
    <w:pPr>
      <w:spacing w:after="0" w:line="240" w:lineRule="auto"/>
      <w:contextualSpacing/>
    </w:pPr>
    <w:rPr>
      <w:rFonts w:asciiTheme="majorHAnsi" w:eastAsiaTheme="majorEastAsia" w:hAnsiTheme="majorHAnsi" w:cstheme="majorBidi"/>
      <w:spacing w:val="-10"/>
      <w:kern w:val="28"/>
      <w:sz w:val="48"/>
      <w:szCs w:val="56"/>
    </w:rPr>
  </w:style>
  <w:style w:type="character" w:customStyle="1" w:styleId="TitleChar">
    <w:name w:val="Title Char"/>
    <w:basedOn w:val="DefaultParagraphFont"/>
    <w:link w:val="Title"/>
    <w:uiPriority w:val="10"/>
    <w:rsid w:val="00327A2B"/>
    <w:rPr>
      <w:rFonts w:asciiTheme="majorHAnsi" w:eastAsiaTheme="majorEastAsia" w:hAnsiTheme="majorHAnsi" w:cstheme="majorBidi"/>
      <w:spacing w:val="-10"/>
      <w:kern w:val="28"/>
      <w:sz w:val="48"/>
      <w:szCs w:val="56"/>
    </w:rPr>
  </w:style>
  <w:style w:type="paragraph" w:styleId="Revision">
    <w:name w:val="Revision"/>
    <w:hidden/>
    <w:uiPriority w:val="99"/>
    <w:semiHidden/>
    <w:rsid w:val="00327A2B"/>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116178">
      <w:bodyDiv w:val="1"/>
      <w:marLeft w:val="0"/>
      <w:marRight w:val="0"/>
      <w:marTop w:val="0"/>
      <w:marBottom w:val="0"/>
      <w:divBdr>
        <w:top w:val="none" w:sz="0" w:space="0" w:color="auto"/>
        <w:left w:val="none" w:sz="0" w:space="0" w:color="auto"/>
        <w:bottom w:val="none" w:sz="0" w:space="0" w:color="auto"/>
        <w:right w:val="none" w:sz="0" w:space="0" w:color="auto"/>
      </w:divBdr>
    </w:div>
    <w:div w:id="937912166">
      <w:bodyDiv w:val="1"/>
      <w:marLeft w:val="0"/>
      <w:marRight w:val="0"/>
      <w:marTop w:val="0"/>
      <w:marBottom w:val="0"/>
      <w:divBdr>
        <w:top w:val="none" w:sz="0" w:space="0" w:color="auto"/>
        <w:left w:val="none" w:sz="0" w:space="0" w:color="auto"/>
        <w:bottom w:val="none" w:sz="0" w:space="0" w:color="auto"/>
        <w:right w:val="none" w:sz="0" w:space="0" w:color="auto"/>
      </w:divBdr>
    </w:div>
    <w:div w:id="1573420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deocast.nih.gov/summary.asp?live=26596&amp;bhcp=1" TargetMode="External"/><Relationship Id="rId13" Type="http://schemas.openxmlformats.org/officeDocument/2006/relationships/hyperlink" Target="http://www.section508.gov/" TargetMode="External"/><Relationship Id="rId18" Type="http://schemas.openxmlformats.org/officeDocument/2006/relationships/hyperlink" Target="http://nihcats.olao.od.nih.gov" TargetMode="External"/><Relationship Id="rId26" Type="http://schemas.openxmlformats.org/officeDocument/2006/relationships/hyperlink" Target="http://oamp.od.nih.gov/dsaps/bpa-program" TargetMode="External"/><Relationship Id="rId3" Type="http://schemas.openxmlformats.org/officeDocument/2006/relationships/styles" Target="styles.xml"/><Relationship Id="rId21" Type="http://schemas.openxmlformats.org/officeDocument/2006/relationships/hyperlink" Target="https://hr.nih.gov/training-center/course-catalog/acquisitions-management"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section508.gov/" TargetMode="External"/><Relationship Id="rId17" Type="http://schemas.openxmlformats.org/officeDocument/2006/relationships/hyperlink" Target="https://oalmsps.od.nih.gov/OAMP/DSAPS/ASRB/SAPhD/Training/Forms/AllItems.aspx" TargetMode="External"/><Relationship Id="rId25" Type="http://schemas.openxmlformats.org/officeDocument/2006/relationships/hyperlink" Target="http://oalm.od.nih.gov/GreenPurchasingForWebsite"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oalmsps.od.nih.gov/OAMP/DSAPS/ASRB/SAPhD/_layouts/15/WopiFrame.aspx?sourcedoc=%7b20E0915B-8D62-4C8A-A371-0FB1C8C8C272%7d&amp;file=Receiving%20Report%20Template.docx&amp;action=default" TargetMode="External"/><Relationship Id="rId20" Type="http://schemas.openxmlformats.org/officeDocument/2006/relationships/hyperlink" Target="https://hr.nih.gov/training-center/course-catalog/acquisitions-management" TargetMode="External"/><Relationship Id="rId29" Type="http://schemas.openxmlformats.org/officeDocument/2006/relationships/hyperlink" Target="mailto:RomanesA@od.nih.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quisition.gov/far/html/Subpart%2039_2.html" TargetMode="External"/><Relationship Id="rId24" Type="http://schemas.openxmlformats.org/officeDocument/2006/relationships/hyperlink" Target="http://training.cit.nih.gov/list.aspx?catId=14" TargetMode="External"/><Relationship Id="rId32" Type="http://schemas.openxmlformats.org/officeDocument/2006/relationships/hyperlink" Target="mailto:OALMnewsletter@mail.nih.gov" TargetMode="External"/><Relationship Id="rId5" Type="http://schemas.openxmlformats.org/officeDocument/2006/relationships/webSettings" Target="webSettings.xml"/><Relationship Id="rId15" Type="http://schemas.openxmlformats.org/officeDocument/2006/relationships/hyperlink" Target="https://www.acquisition.gov/sites/default/files/current/far/html/Subpart%2032_9.html" TargetMode="External"/><Relationship Id="rId23" Type="http://schemas.openxmlformats.org/officeDocument/2006/relationships/hyperlink" Target="https://learn.dau.mil/Atlas2/faces/page/atlasSE/login/Login.seam" TargetMode="External"/><Relationship Id="rId28" Type="http://schemas.openxmlformats.org/officeDocument/2006/relationships/hyperlink" Target="mailto:NicholaM@od.nih.gov" TargetMode="External"/><Relationship Id="rId10" Type="http://schemas.openxmlformats.org/officeDocument/2006/relationships/hyperlink" Target="mailto:Creditcard@OD.NIH.GOV" TargetMode="External"/><Relationship Id="rId19" Type="http://schemas.openxmlformats.org/officeDocument/2006/relationships/hyperlink" Target="mailto:NIHCATSIII@mail.nih.gov" TargetMode="External"/><Relationship Id="rId31" Type="http://schemas.openxmlformats.org/officeDocument/2006/relationships/hyperlink" Target="mailto:SolomonBJ@od.nih.gov" TargetMode="External"/><Relationship Id="rId4" Type="http://schemas.openxmlformats.org/officeDocument/2006/relationships/settings" Target="settings.xml"/><Relationship Id="rId9" Type="http://schemas.openxmlformats.org/officeDocument/2006/relationships/hyperlink" Target="https://www.surveymonkey.com/r/HHSReverseIndustry18" TargetMode="External"/><Relationship Id="rId14" Type="http://schemas.openxmlformats.org/officeDocument/2006/relationships/hyperlink" Target="https://www.section508.gov/training/courses/micro-purchase/lesson1/" TargetMode="External"/><Relationship Id="rId22" Type="http://schemas.openxmlformats.org/officeDocument/2006/relationships/hyperlink" Target="http://www.fai.gov/" TargetMode="External"/><Relationship Id="rId27" Type="http://schemas.openxmlformats.org/officeDocument/2006/relationships/hyperlink" Target="mailto:BPAProgramBranch@od.nih.gov" TargetMode="External"/><Relationship Id="rId30" Type="http://schemas.openxmlformats.org/officeDocument/2006/relationships/hyperlink" Target="mailto:McDermottMl@od.nih.gov"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B77BE3-5124-4049-BEFF-727B6C589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2947</Words>
  <Characters>16804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Solomon, Barry (NIH/OD) [E]</dc:creator>
  <cp:keywords/>
  <dc:description/>
  <cp:lastModifiedBy>Ambrose, Alan (NIH/OD) [C]</cp:lastModifiedBy>
  <cp:revision>4</cp:revision>
  <dcterms:created xsi:type="dcterms:W3CDTF">2018-09-26T18:03:00Z</dcterms:created>
  <dcterms:modified xsi:type="dcterms:W3CDTF">2018-09-27T14:23:00Z</dcterms:modified>
</cp:coreProperties>
</file>